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96" w:rsidRPr="00F65D50" w:rsidRDefault="007664C5" w:rsidP="00472296">
      <w:pPr>
        <w:pStyle w:val="Title"/>
        <w:rPr>
          <w:sz w:val="28"/>
        </w:rPr>
      </w:pPr>
      <w:r w:rsidRPr="00F65D50">
        <w:rPr>
          <w:sz w:val="28"/>
        </w:rPr>
        <w:t>Proposed</w:t>
      </w:r>
      <w:r w:rsidR="00987DF0" w:rsidRPr="00F65D50">
        <w:rPr>
          <w:sz w:val="28"/>
        </w:rPr>
        <w:t xml:space="preserve"> </w:t>
      </w:r>
      <w:r w:rsidR="00F65D50" w:rsidRPr="00F65D50">
        <w:rPr>
          <w:sz w:val="28"/>
        </w:rPr>
        <w:t>Collaboration</w:t>
      </w:r>
      <w:r w:rsidRPr="00F65D50">
        <w:rPr>
          <w:sz w:val="28"/>
        </w:rPr>
        <w:t xml:space="preserve"> </w:t>
      </w:r>
      <w:r w:rsidR="00987DF0" w:rsidRPr="00F65D50">
        <w:rPr>
          <w:sz w:val="28"/>
        </w:rPr>
        <w:t>between</w:t>
      </w:r>
    </w:p>
    <w:p w:rsidR="00472296" w:rsidRPr="00F65D50" w:rsidRDefault="007664C5" w:rsidP="00472296">
      <w:pPr>
        <w:pStyle w:val="Title"/>
        <w:rPr>
          <w:sz w:val="28"/>
        </w:rPr>
      </w:pPr>
      <w:r w:rsidRPr="00F65D50">
        <w:rPr>
          <w:sz w:val="28"/>
        </w:rPr>
        <w:t>OASIS and HL7</w:t>
      </w:r>
    </w:p>
    <w:p w:rsidR="00472296" w:rsidRPr="00F65D50" w:rsidRDefault="00472296" w:rsidP="00472296">
      <w:pPr>
        <w:pStyle w:val="Title"/>
        <w:rPr>
          <w:sz w:val="28"/>
        </w:rPr>
      </w:pPr>
      <w:r w:rsidRPr="00F65D50">
        <w:rPr>
          <w:sz w:val="28"/>
        </w:rPr>
        <w:t xml:space="preserve"> </w:t>
      </w:r>
      <w:proofErr w:type="gramStart"/>
      <w:r w:rsidRPr="00F65D50">
        <w:rPr>
          <w:sz w:val="28"/>
        </w:rPr>
        <w:t>in</w:t>
      </w:r>
      <w:proofErr w:type="gramEnd"/>
      <w:r w:rsidRPr="00F65D50">
        <w:rPr>
          <w:sz w:val="28"/>
        </w:rPr>
        <w:t xml:space="preserve"> the coordination of systems interoperability initiatives</w:t>
      </w:r>
    </w:p>
    <w:p w:rsidR="00B7181B" w:rsidRDefault="00B7181B" w:rsidP="00987DF0"/>
    <w:p w:rsidR="00591ABA" w:rsidRPr="0043765D" w:rsidRDefault="00591ABA" w:rsidP="00591ABA">
      <w:pPr>
        <w:pStyle w:val="Heading1"/>
        <w:numPr>
          <w:ilvl w:val="0"/>
          <w:numId w:val="2"/>
        </w:numPr>
        <w:spacing w:before="240"/>
        <w:rPr>
          <w:caps/>
        </w:rPr>
      </w:pPr>
      <w:r>
        <w:rPr>
          <w:caps/>
        </w:rPr>
        <w:t>INTRODUCTION</w:t>
      </w:r>
    </w:p>
    <w:p w:rsidR="00F44472" w:rsidRDefault="00F44472" w:rsidP="00F93B27">
      <w:pPr>
        <w:rPr>
          <w:rFonts w:ascii="Calibri" w:hAnsi="Calibri"/>
        </w:rPr>
      </w:pPr>
      <w:r w:rsidRPr="00F44472">
        <w:rPr>
          <w:rFonts w:ascii="Calibri" w:hAnsi="Calibri"/>
        </w:rPr>
        <w:t xml:space="preserve">Due to mutual desire to serve cross-profession practitioner communities </w:t>
      </w:r>
      <w:r w:rsidR="00B05A6E">
        <w:rPr>
          <w:rFonts w:ascii="Calibri" w:hAnsi="Calibri"/>
        </w:rPr>
        <w:t xml:space="preserve"> including the unique </w:t>
      </w:r>
      <w:r w:rsidR="00D14DF7">
        <w:rPr>
          <w:rFonts w:ascii="Calibri" w:hAnsi="Calibri"/>
        </w:rPr>
        <w:t>cross-</w:t>
      </w:r>
      <w:r w:rsidR="00B05A6E">
        <w:rPr>
          <w:rFonts w:ascii="Calibri" w:hAnsi="Calibri"/>
        </w:rPr>
        <w:t>domain interoperability require</w:t>
      </w:r>
      <w:r w:rsidR="00D14DF7">
        <w:rPr>
          <w:rFonts w:ascii="Calibri" w:hAnsi="Calibri"/>
        </w:rPr>
        <w:t>d</w:t>
      </w:r>
      <w:r w:rsidR="00B05A6E">
        <w:rPr>
          <w:rFonts w:ascii="Calibri" w:hAnsi="Calibri"/>
        </w:rPr>
        <w:t xml:space="preserve"> for Emergency Responders and Emergency Departments to effectively and efficiently serve </w:t>
      </w:r>
      <w:r w:rsidR="00AE1AC8">
        <w:rPr>
          <w:rFonts w:ascii="Calibri" w:hAnsi="Calibri"/>
        </w:rPr>
        <w:t xml:space="preserve">the “Continuum of Care” of </w:t>
      </w:r>
      <w:r w:rsidRPr="00F44472">
        <w:rPr>
          <w:rFonts w:ascii="Calibri" w:hAnsi="Calibri"/>
        </w:rPr>
        <w:t xml:space="preserve">emergency patients, </w:t>
      </w:r>
      <w:r w:rsidR="00D14DF7">
        <w:rPr>
          <w:rFonts w:ascii="Calibri" w:hAnsi="Calibri"/>
        </w:rPr>
        <w:t xml:space="preserve">in order to </w:t>
      </w:r>
      <w:r w:rsidRPr="00F44472">
        <w:rPr>
          <w:rFonts w:ascii="Calibri" w:hAnsi="Calibri"/>
        </w:rPr>
        <w:t xml:space="preserve">minimize potential confusion for standards implementers, </w:t>
      </w:r>
      <w:r>
        <w:rPr>
          <w:rFonts w:ascii="Calibri" w:hAnsi="Calibri"/>
        </w:rPr>
        <w:t xml:space="preserve">and </w:t>
      </w:r>
      <w:r w:rsidRPr="00F44472">
        <w:rPr>
          <w:rFonts w:ascii="Calibri" w:hAnsi="Calibri"/>
        </w:rPr>
        <w:t xml:space="preserve">avoid potential </w:t>
      </w:r>
      <w:r w:rsidR="00B05A6E">
        <w:rPr>
          <w:rFonts w:ascii="Calibri" w:hAnsi="Calibri"/>
        </w:rPr>
        <w:t xml:space="preserve">inconsistencies </w:t>
      </w:r>
      <w:r w:rsidR="00D14DF7">
        <w:rPr>
          <w:rFonts w:ascii="Calibri" w:hAnsi="Calibri"/>
        </w:rPr>
        <w:t xml:space="preserve">and unplanned overlaps </w:t>
      </w:r>
      <w:r w:rsidR="00B05A6E">
        <w:rPr>
          <w:rFonts w:ascii="Calibri" w:hAnsi="Calibri"/>
        </w:rPr>
        <w:t xml:space="preserve">between developed and published </w:t>
      </w:r>
      <w:r w:rsidRPr="00F44472">
        <w:rPr>
          <w:rFonts w:ascii="Calibri" w:hAnsi="Calibri"/>
        </w:rPr>
        <w:t>standards</w:t>
      </w:r>
      <w:r w:rsidR="00D14DF7">
        <w:rPr>
          <w:rFonts w:ascii="Calibri" w:hAnsi="Calibri"/>
        </w:rPr>
        <w:t xml:space="preserve"> within each domain</w:t>
      </w:r>
      <w:r w:rsidRPr="00F44472">
        <w:rPr>
          <w:rFonts w:ascii="Calibri" w:hAnsi="Calibri"/>
        </w:rPr>
        <w:t xml:space="preserve"> </w:t>
      </w:r>
      <w:r w:rsidR="00EE7139">
        <w:rPr>
          <w:rFonts w:ascii="Calibri" w:hAnsi="Calibri"/>
        </w:rPr>
        <w:t xml:space="preserve">, the Standards Development Organizations </w:t>
      </w:r>
      <w:r w:rsidR="00103077">
        <w:rPr>
          <w:rFonts w:ascii="Calibri" w:hAnsi="Calibri"/>
        </w:rPr>
        <w:t>(SDO</w:t>
      </w:r>
      <w:r w:rsidR="00B05A6E">
        <w:rPr>
          <w:rFonts w:ascii="Calibri" w:hAnsi="Calibri"/>
        </w:rPr>
        <w:t>s</w:t>
      </w:r>
      <w:r w:rsidR="00103077">
        <w:rPr>
          <w:rFonts w:ascii="Calibri" w:hAnsi="Calibri"/>
        </w:rPr>
        <w:t xml:space="preserve">) </w:t>
      </w:r>
      <w:r w:rsidR="00EE7139">
        <w:rPr>
          <w:rFonts w:ascii="Calibri" w:hAnsi="Calibri"/>
        </w:rPr>
        <w:t xml:space="preserve">HL7 and OASIS </w:t>
      </w:r>
      <w:r w:rsidR="00F61930">
        <w:rPr>
          <w:rFonts w:ascii="Calibri" w:hAnsi="Calibri"/>
        </w:rPr>
        <w:t>seek</w:t>
      </w:r>
      <w:r>
        <w:rPr>
          <w:rFonts w:ascii="Calibri" w:hAnsi="Calibri"/>
        </w:rPr>
        <w:t xml:space="preserve"> to collaborate in areas of mutual interest.</w:t>
      </w:r>
      <w:r w:rsidR="00EE7139">
        <w:rPr>
          <w:rFonts w:ascii="Calibri" w:hAnsi="Calibri"/>
        </w:rPr>
        <w:t xml:space="preserve"> </w:t>
      </w:r>
    </w:p>
    <w:p w:rsidR="00F44472" w:rsidRDefault="00F44472" w:rsidP="00F93B27">
      <w:pPr>
        <w:rPr>
          <w:rFonts w:ascii="Calibri" w:hAnsi="Calibri"/>
        </w:rPr>
      </w:pPr>
    </w:p>
    <w:p w:rsidR="00FA7166" w:rsidRDefault="00103077" w:rsidP="00F93B27">
      <w:pPr>
        <w:rPr>
          <w:rFonts w:ascii="Calibri" w:hAnsi="Calibri"/>
        </w:rPr>
      </w:pPr>
      <w:r>
        <w:rPr>
          <w:rFonts w:ascii="Calibri" w:hAnsi="Calibri"/>
        </w:rPr>
        <w:t xml:space="preserve">Both HL7 and OASIS are </w:t>
      </w:r>
      <w:r w:rsidRPr="00103077">
        <w:rPr>
          <w:rFonts w:ascii="Calibri" w:hAnsi="Calibri"/>
        </w:rPr>
        <w:t xml:space="preserve">dedicated to providing </w:t>
      </w:r>
      <w:r>
        <w:rPr>
          <w:rFonts w:ascii="Calibri" w:hAnsi="Calibri"/>
        </w:rPr>
        <w:t xml:space="preserve">open </w:t>
      </w:r>
      <w:r w:rsidRPr="00103077">
        <w:rPr>
          <w:rFonts w:ascii="Calibri" w:hAnsi="Calibri"/>
        </w:rPr>
        <w:t xml:space="preserve">standards for the exchange, integration, sharing, </w:t>
      </w:r>
      <w:r w:rsidRPr="00103077">
        <w:rPr>
          <w:rFonts w:ascii="Calibri" w:hAnsi="Calibri"/>
        </w:rPr>
        <w:t xml:space="preserve">and retrieval of electronic </w:t>
      </w:r>
      <w:r>
        <w:rPr>
          <w:rFonts w:ascii="Calibri" w:hAnsi="Calibri"/>
        </w:rPr>
        <w:t xml:space="preserve">information.  </w:t>
      </w:r>
      <w:r w:rsidR="00FE604A">
        <w:rPr>
          <w:rFonts w:ascii="Calibri" w:hAnsi="Calibri"/>
        </w:rPr>
        <w:t xml:space="preserve">While HL7 focuses on </w:t>
      </w:r>
      <w:r w:rsidRPr="00103077">
        <w:rPr>
          <w:rFonts w:ascii="Calibri" w:hAnsi="Calibri"/>
        </w:rPr>
        <w:t>health information that supports clinical practice and the management, delivery and evaluation of health services</w:t>
      </w:r>
      <w:r w:rsidR="00FE604A">
        <w:rPr>
          <w:rFonts w:ascii="Calibri" w:hAnsi="Calibri"/>
        </w:rPr>
        <w:t>, t</w:t>
      </w:r>
      <w:r>
        <w:rPr>
          <w:rFonts w:ascii="Calibri" w:hAnsi="Calibri"/>
        </w:rPr>
        <w:t xml:space="preserve">he </w:t>
      </w:r>
      <w:r w:rsidR="00315AEE" w:rsidRPr="00980CFE">
        <w:rPr>
          <w:rFonts w:ascii="Calibri" w:hAnsi="Calibri"/>
        </w:rPr>
        <w:t xml:space="preserve">EDXL suite of messaging standards </w:t>
      </w:r>
      <w:r w:rsidR="00FC40DB">
        <w:rPr>
          <w:rFonts w:ascii="Calibri" w:hAnsi="Calibri"/>
        </w:rPr>
        <w:t xml:space="preserve">published by OASIS </w:t>
      </w:r>
      <w:r w:rsidR="00315AEE" w:rsidRPr="00980CFE">
        <w:rPr>
          <w:rFonts w:ascii="Calibri" w:hAnsi="Calibri"/>
        </w:rPr>
        <w:t xml:space="preserve">focus </w:t>
      </w:r>
      <w:r w:rsidR="005F14CB">
        <w:rPr>
          <w:rFonts w:ascii="Calibri" w:hAnsi="Calibri"/>
        </w:rPr>
        <w:t xml:space="preserve">on </w:t>
      </w:r>
      <w:r w:rsidR="00FA7166" w:rsidRPr="00FA7166">
        <w:rPr>
          <w:rFonts w:ascii="Calibri" w:hAnsi="Calibri"/>
        </w:rPr>
        <w:t xml:space="preserve">information that supports </w:t>
      </w:r>
      <w:r w:rsidR="005F14CB">
        <w:rPr>
          <w:rFonts w:ascii="Calibri" w:hAnsi="Calibri"/>
        </w:rPr>
        <w:t xml:space="preserve">emergency and disaster </w:t>
      </w:r>
      <w:r w:rsidR="001A3CAA">
        <w:rPr>
          <w:rFonts w:ascii="Calibri" w:hAnsi="Calibri"/>
        </w:rPr>
        <w:t xml:space="preserve">response, </w:t>
      </w:r>
      <w:r w:rsidR="00E65E6A">
        <w:rPr>
          <w:rFonts w:ascii="Calibri" w:hAnsi="Calibri"/>
        </w:rPr>
        <w:t xml:space="preserve">management, </w:t>
      </w:r>
      <w:r w:rsidR="00FA7166">
        <w:rPr>
          <w:rFonts w:ascii="Calibri" w:hAnsi="Calibri"/>
        </w:rPr>
        <w:t xml:space="preserve">and </w:t>
      </w:r>
      <w:r w:rsidR="00D52651" w:rsidRPr="00D52651">
        <w:rPr>
          <w:rFonts w:ascii="Calibri" w:hAnsi="Calibri"/>
        </w:rPr>
        <w:t xml:space="preserve">coordination </w:t>
      </w:r>
      <w:r w:rsidR="00D52651">
        <w:rPr>
          <w:rFonts w:ascii="Calibri" w:hAnsi="Calibri"/>
        </w:rPr>
        <w:t>across jurisdictions, organizations, and professions</w:t>
      </w:r>
      <w:r w:rsidR="00FA7166">
        <w:rPr>
          <w:rFonts w:ascii="Calibri" w:hAnsi="Calibri"/>
        </w:rPr>
        <w:t>.</w:t>
      </w:r>
      <w:r w:rsidR="00D52651">
        <w:rPr>
          <w:rFonts w:ascii="Calibri" w:hAnsi="Calibri"/>
        </w:rPr>
        <w:t xml:space="preserve"> </w:t>
      </w:r>
      <w:r w:rsidR="00000521">
        <w:rPr>
          <w:rFonts w:ascii="Calibri" w:hAnsi="Calibri"/>
        </w:rPr>
        <w:t>H</w:t>
      </w:r>
      <w:r w:rsidR="00D52651">
        <w:rPr>
          <w:rFonts w:ascii="Calibri" w:hAnsi="Calibri"/>
        </w:rPr>
        <w:t>istorically these standards have addressed data exchange “within their own domains” – i.e. EDXL within the “emergency” domain and HL7 within the “Health and Healthcare” domain</w:t>
      </w:r>
      <w:r w:rsidR="00000521">
        <w:rPr>
          <w:rFonts w:ascii="Calibri" w:hAnsi="Calibri"/>
        </w:rPr>
        <w:t>. While there has been some coordination based on contributions of individuals involv</w:t>
      </w:r>
      <w:r w:rsidR="009869B9">
        <w:rPr>
          <w:rFonts w:ascii="Calibri" w:hAnsi="Calibri"/>
        </w:rPr>
        <w:t>ed in both domains, there is no</w:t>
      </w:r>
      <w:r w:rsidR="00000521">
        <w:rPr>
          <w:rFonts w:ascii="Calibri" w:hAnsi="Calibri"/>
        </w:rPr>
        <w:t xml:space="preserve"> formal mechanism to share information, Intellectual Property</w:t>
      </w:r>
      <w:r w:rsidR="009869B9">
        <w:rPr>
          <w:rFonts w:ascii="Calibri" w:hAnsi="Calibri"/>
        </w:rPr>
        <w:t xml:space="preserve"> </w:t>
      </w:r>
      <w:r w:rsidR="00000521">
        <w:rPr>
          <w:rFonts w:ascii="Calibri" w:hAnsi="Calibri"/>
        </w:rPr>
        <w:t>implementation experience</w:t>
      </w:r>
      <w:r w:rsidR="009869B9">
        <w:rPr>
          <w:rFonts w:ascii="Calibri" w:hAnsi="Calibri"/>
        </w:rPr>
        <w:t xml:space="preserve"> and eliminate inconsistencies</w:t>
      </w:r>
    </w:p>
    <w:p w:rsidR="0031627C" w:rsidRDefault="0031627C" w:rsidP="00F93B27">
      <w:pPr>
        <w:rPr>
          <w:rFonts w:ascii="Calibri" w:hAnsi="Calibri"/>
        </w:rPr>
      </w:pPr>
    </w:p>
    <w:p w:rsidR="00597A87" w:rsidRDefault="00BB3D38" w:rsidP="00F93B27">
      <w:pPr>
        <w:rPr>
          <w:rFonts w:ascii="Calibri" w:hAnsi="Calibri"/>
        </w:rPr>
      </w:pPr>
      <w:r w:rsidRPr="00BB3D38">
        <w:rPr>
          <w:rFonts w:ascii="Calibri" w:hAnsi="Calibri"/>
        </w:rPr>
        <w:t xml:space="preserve">Recognizing the long and broad lifecycles of data elements and messages exchanged in the use cases being examined by a wide variety of stakeholders, data architects </w:t>
      </w:r>
      <w:r w:rsidR="000C6E7D">
        <w:rPr>
          <w:rFonts w:ascii="Calibri" w:hAnsi="Calibri"/>
        </w:rPr>
        <w:t>have begu</w:t>
      </w:r>
      <w:r w:rsidR="00D52651">
        <w:rPr>
          <w:rFonts w:ascii="Calibri" w:hAnsi="Calibri"/>
        </w:rPr>
        <w:t xml:space="preserve">n to </w:t>
      </w:r>
      <w:r w:rsidR="000C6E7D">
        <w:rPr>
          <w:rFonts w:ascii="Calibri" w:hAnsi="Calibri"/>
        </w:rPr>
        <w:t xml:space="preserve">address </w:t>
      </w:r>
      <w:r w:rsidR="00D52651">
        <w:rPr>
          <w:rFonts w:ascii="Calibri" w:hAnsi="Calibri"/>
        </w:rPr>
        <w:t xml:space="preserve">“dovetail” information sharing </w:t>
      </w:r>
      <w:r w:rsidR="0031627C">
        <w:rPr>
          <w:rFonts w:ascii="Calibri" w:hAnsi="Calibri"/>
        </w:rPr>
        <w:t>areas;</w:t>
      </w:r>
      <w:r w:rsidR="008C3B27">
        <w:rPr>
          <w:rFonts w:ascii="Calibri" w:hAnsi="Calibri"/>
        </w:rPr>
        <w:t xml:space="preserve"> for example where information from the emergency scene may assist preparation of definitive care facilities to care for incoming patients.</w:t>
      </w:r>
      <w:r w:rsidR="00597A87">
        <w:rPr>
          <w:rFonts w:ascii="Calibri" w:hAnsi="Calibri"/>
        </w:rPr>
        <w:t xml:space="preserve">  </w:t>
      </w:r>
      <w:r w:rsidR="00D52651">
        <w:rPr>
          <w:rFonts w:ascii="Calibri" w:hAnsi="Calibri"/>
        </w:rPr>
        <w:t xml:space="preserve">  </w:t>
      </w:r>
      <w:r w:rsidR="00597A87">
        <w:rPr>
          <w:rFonts w:ascii="Calibri" w:hAnsi="Calibri"/>
        </w:rPr>
        <w:t xml:space="preserve">Both HL7 and OASIS </w:t>
      </w:r>
      <w:r w:rsidR="00DE628F">
        <w:rPr>
          <w:rFonts w:ascii="Calibri" w:hAnsi="Calibri"/>
        </w:rPr>
        <w:t>have recognized the value of collaboration to pro-actively address</w:t>
      </w:r>
      <w:r w:rsidR="00597A87">
        <w:rPr>
          <w:rFonts w:ascii="Calibri" w:hAnsi="Calibri"/>
        </w:rPr>
        <w:t xml:space="preserve"> potential</w:t>
      </w:r>
      <w:r w:rsidR="00DE628F">
        <w:rPr>
          <w:rFonts w:ascii="Calibri" w:hAnsi="Calibri"/>
        </w:rPr>
        <w:t xml:space="preserve"> process and </w:t>
      </w:r>
      <w:r w:rsidR="00597A87">
        <w:rPr>
          <w:rFonts w:ascii="Calibri" w:hAnsi="Calibri"/>
        </w:rPr>
        <w:t xml:space="preserve">data-sharing “dove-tail” areas in order to pursue and </w:t>
      </w:r>
      <w:r w:rsidR="00DE628F">
        <w:rPr>
          <w:rFonts w:ascii="Calibri" w:hAnsi="Calibri"/>
        </w:rPr>
        <w:t xml:space="preserve">communicate a clear vision of standards direction and intended usage, and minimize potential </w:t>
      </w:r>
      <w:r w:rsidR="00411C09">
        <w:rPr>
          <w:rFonts w:ascii="Calibri" w:hAnsi="Calibri"/>
        </w:rPr>
        <w:t xml:space="preserve">inconsistencies and </w:t>
      </w:r>
      <w:r w:rsidR="00DE628F">
        <w:rPr>
          <w:rFonts w:ascii="Calibri" w:hAnsi="Calibri"/>
        </w:rPr>
        <w:t>confusion</w:t>
      </w:r>
      <w:r w:rsidR="00597A87">
        <w:rPr>
          <w:rFonts w:ascii="Calibri" w:hAnsi="Calibri"/>
        </w:rPr>
        <w:t xml:space="preserve"> within </w:t>
      </w:r>
      <w:r w:rsidR="00411C09">
        <w:rPr>
          <w:rFonts w:ascii="Calibri" w:hAnsi="Calibri"/>
        </w:rPr>
        <w:t xml:space="preserve">the </w:t>
      </w:r>
      <w:r w:rsidR="00597A87">
        <w:rPr>
          <w:rFonts w:ascii="Calibri" w:hAnsi="Calibri"/>
        </w:rPr>
        <w:t xml:space="preserve">user </w:t>
      </w:r>
      <w:r w:rsidR="00411C09">
        <w:rPr>
          <w:rFonts w:ascii="Calibri" w:hAnsi="Calibri"/>
        </w:rPr>
        <w:t xml:space="preserve">and development </w:t>
      </w:r>
      <w:r w:rsidR="00597A87">
        <w:rPr>
          <w:rFonts w:ascii="Calibri" w:hAnsi="Calibri"/>
        </w:rPr>
        <w:t>communities</w:t>
      </w:r>
      <w:r w:rsidR="00DE628F">
        <w:rPr>
          <w:rFonts w:ascii="Calibri" w:hAnsi="Calibri"/>
        </w:rPr>
        <w:t xml:space="preserve">.  </w:t>
      </w:r>
    </w:p>
    <w:p w:rsidR="000359A5" w:rsidRDefault="000359A5" w:rsidP="00F93B27">
      <w:pPr>
        <w:rPr>
          <w:rFonts w:ascii="Calibri" w:hAnsi="Calibri"/>
        </w:rPr>
      </w:pPr>
    </w:p>
    <w:p w:rsidR="000359A5" w:rsidRDefault="000359A5" w:rsidP="00F93B27">
      <w:pPr>
        <w:rPr>
          <w:rFonts w:ascii="Calibri" w:hAnsi="Calibri"/>
        </w:rPr>
      </w:pPr>
      <w:r>
        <w:rPr>
          <w:rFonts w:ascii="Calibri" w:hAnsi="Calibri"/>
        </w:rPr>
        <w:t xml:space="preserve">Initial discussions between HL7, OASIS and various stakeholder organizations began in September </w:t>
      </w:r>
      <w:r>
        <w:rPr>
          <w:rFonts w:ascii="Calibri" w:hAnsi="Calibri"/>
        </w:rPr>
        <w:t>2009, and now standards development progress has reached a point where direct collaboration is desired and required.</w:t>
      </w:r>
    </w:p>
    <w:p w:rsidR="00EF4214" w:rsidRDefault="00EF4214" w:rsidP="00591ABA">
      <w:pPr>
        <w:rPr>
          <w:rFonts w:ascii="Calibri" w:hAnsi="Calibri"/>
        </w:rPr>
      </w:pPr>
    </w:p>
    <w:p w:rsidR="00815CCF" w:rsidRPr="0043765D" w:rsidRDefault="00815CCF" w:rsidP="00815CCF">
      <w:pPr>
        <w:pStyle w:val="Heading1"/>
        <w:numPr>
          <w:ilvl w:val="0"/>
          <w:numId w:val="2"/>
        </w:numPr>
        <w:spacing w:before="240"/>
        <w:rPr>
          <w:caps/>
        </w:rPr>
      </w:pPr>
      <w:r>
        <w:rPr>
          <w:caps/>
        </w:rPr>
        <w:t>purpose</w:t>
      </w:r>
    </w:p>
    <w:p w:rsidR="00981C6A" w:rsidRPr="00586516" w:rsidRDefault="00F30969" w:rsidP="00981C6A">
      <w:pPr>
        <w:spacing w:after="120"/>
        <w:rPr>
          <w:rFonts w:asciiTheme="minorHAnsi" w:hAnsiTheme="minorHAnsi" w:cstheme="minorHAnsi"/>
        </w:rPr>
      </w:pPr>
      <w:r w:rsidRPr="00586516">
        <w:rPr>
          <w:rFonts w:asciiTheme="minorHAnsi" w:hAnsiTheme="minorHAnsi" w:cstheme="minorHAnsi"/>
        </w:rPr>
        <w:lastRenderedPageBreak/>
        <w:t xml:space="preserve">The purpose of this </w:t>
      </w:r>
      <w:r w:rsidR="00411C09">
        <w:rPr>
          <w:rFonts w:asciiTheme="minorHAnsi" w:hAnsiTheme="minorHAnsi" w:cstheme="minorHAnsi"/>
        </w:rPr>
        <w:t>memorandum</w:t>
      </w:r>
      <w:r w:rsidR="00411C09" w:rsidRPr="00586516">
        <w:rPr>
          <w:rFonts w:asciiTheme="minorHAnsi" w:hAnsiTheme="minorHAnsi" w:cstheme="minorHAnsi"/>
        </w:rPr>
        <w:t xml:space="preserve"> </w:t>
      </w:r>
      <w:r w:rsidRPr="00586516">
        <w:rPr>
          <w:rFonts w:asciiTheme="minorHAnsi" w:hAnsiTheme="minorHAnsi" w:cstheme="minorHAnsi"/>
        </w:rPr>
        <w:t xml:space="preserve">is to set a foundation for discussion and agreement between HL7 and OASIS </w:t>
      </w:r>
      <w:r w:rsidR="00004985">
        <w:rPr>
          <w:rFonts w:asciiTheme="minorHAnsi" w:hAnsiTheme="minorHAnsi" w:cstheme="minorHAnsi"/>
        </w:rPr>
        <w:t>workgroups for</w:t>
      </w:r>
      <w:r w:rsidRPr="00586516">
        <w:rPr>
          <w:rFonts w:asciiTheme="minorHAnsi" w:hAnsiTheme="minorHAnsi" w:cstheme="minorHAnsi"/>
        </w:rPr>
        <w:t xml:space="preserve"> collaboration in common areas which potentially affect or support common domain areas, users, systems and organizations.  </w:t>
      </w:r>
      <w:r w:rsidR="003A4470" w:rsidRPr="00586516">
        <w:rPr>
          <w:rFonts w:asciiTheme="minorHAnsi" w:hAnsiTheme="minorHAnsi" w:cstheme="minorHAnsi"/>
        </w:rPr>
        <w:t>This collaboration opportunity is driven by two primary areas:</w:t>
      </w:r>
    </w:p>
    <w:p w:rsidR="003A4470" w:rsidRPr="00586516" w:rsidRDefault="003A4470" w:rsidP="00981C6A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theme="minorHAnsi"/>
        </w:rPr>
      </w:pPr>
      <w:r w:rsidRPr="00586516">
        <w:rPr>
          <w:rFonts w:asciiTheme="minorHAnsi" w:hAnsiTheme="minorHAnsi" w:cstheme="minorHAnsi"/>
        </w:rPr>
        <w:t>The concept of “</w:t>
      </w:r>
      <w:r w:rsidR="000359A5" w:rsidRPr="00586516">
        <w:rPr>
          <w:rFonts w:asciiTheme="minorHAnsi" w:hAnsiTheme="minorHAnsi" w:cstheme="minorHAnsi"/>
        </w:rPr>
        <w:t xml:space="preserve">standard </w:t>
      </w:r>
      <w:r w:rsidR="00C27CEF">
        <w:rPr>
          <w:rFonts w:asciiTheme="minorHAnsi" w:hAnsiTheme="minorHAnsi" w:cstheme="minorHAnsi"/>
        </w:rPr>
        <w:t>message routing</w:t>
      </w:r>
      <w:r w:rsidRPr="00586516">
        <w:rPr>
          <w:rFonts w:asciiTheme="minorHAnsi" w:hAnsiTheme="minorHAnsi" w:cstheme="minorHAnsi"/>
        </w:rPr>
        <w:t>”</w:t>
      </w:r>
      <w:r w:rsidR="000359A5" w:rsidRPr="00586516">
        <w:rPr>
          <w:rFonts w:asciiTheme="minorHAnsi" w:hAnsiTheme="minorHAnsi" w:cstheme="minorHAnsi"/>
        </w:rPr>
        <w:t>,</w:t>
      </w:r>
      <w:r w:rsidRPr="00586516">
        <w:rPr>
          <w:rFonts w:asciiTheme="minorHAnsi" w:hAnsiTheme="minorHAnsi" w:cstheme="minorHAnsi"/>
        </w:rPr>
        <w:t xml:space="preserve"> used</w:t>
      </w:r>
      <w:r w:rsidR="000359A5" w:rsidRPr="00586516">
        <w:rPr>
          <w:rFonts w:asciiTheme="minorHAnsi" w:hAnsiTheme="minorHAnsi" w:cstheme="minorHAnsi"/>
        </w:rPr>
        <w:t xml:space="preserve"> to </w:t>
      </w:r>
      <w:r w:rsidRPr="00586516">
        <w:rPr>
          <w:rFonts w:asciiTheme="minorHAnsi" w:hAnsiTheme="minorHAnsi" w:cstheme="minorHAnsi"/>
        </w:rPr>
        <w:t xml:space="preserve">send, </w:t>
      </w:r>
      <w:r w:rsidR="000359A5" w:rsidRPr="00586516">
        <w:rPr>
          <w:rFonts w:asciiTheme="minorHAnsi" w:hAnsiTheme="minorHAnsi" w:cstheme="minorHAnsi"/>
        </w:rPr>
        <w:t xml:space="preserve">receive and make use of standard data payloads.  </w:t>
      </w:r>
    </w:p>
    <w:p w:rsidR="003578C8" w:rsidRPr="003578C8" w:rsidRDefault="00981C6A" w:rsidP="003578C8">
      <w:pPr>
        <w:pStyle w:val="ListParagraph"/>
        <w:numPr>
          <w:ilvl w:val="0"/>
          <w:numId w:val="16"/>
        </w:numPr>
        <w:spacing w:after="120"/>
        <w:rPr>
          <w:rFonts w:asciiTheme="minorHAnsi" w:hAnsiTheme="minorHAnsi" w:cstheme="minorHAnsi"/>
        </w:rPr>
      </w:pPr>
      <w:r w:rsidRPr="003578C8">
        <w:rPr>
          <w:rFonts w:asciiTheme="minorHAnsi" w:hAnsiTheme="minorHAnsi" w:cstheme="minorHAnsi"/>
        </w:rPr>
        <w:t>The draft EDXL-Tracking of Emergency Patients (TEP) standard</w:t>
      </w:r>
      <w:r w:rsidR="003578C8" w:rsidRPr="003578C8">
        <w:rPr>
          <w:rFonts w:asciiTheme="minorHAnsi" w:hAnsiTheme="minorHAnsi" w:cstheme="minorHAnsi"/>
        </w:rPr>
        <w:t xml:space="preserve"> is</w:t>
      </w:r>
      <w:r w:rsidR="00573520" w:rsidRPr="003578C8">
        <w:rPr>
          <w:rFonts w:asciiTheme="minorHAnsi" w:hAnsiTheme="minorHAnsi" w:cstheme="minorHAnsi"/>
        </w:rPr>
        <w:t xml:space="preserve"> </w:t>
      </w:r>
      <w:r w:rsidRPr="003578C8">
        <w:rPr>
          <w:rFonts w:asciiTheme="minorHAnsi" w:hAnsiTheme="minorHAnsi" w:cstheme="minorHAnsi"/>
        </w:rPr>
        <w:t>approved by the practitioner process</w:t>
      </w:r>
      <w:r w:rsidR="003578C8" w:rsidRPr="003578C8">
        <w:rPr>
          <w:rFonts w:asciiTheme="minorHAnsi" w:hAnsiTheme="minorHAnsi" w:cstheme="minorHAnsi"/>
        </w:rPr>
        <w:t xml:space="preserve"> and</w:t>
      </w:r>
      <w:r w:rsidRPr="003578C8">
        <w:rPr>
          <w:rFonts w:asciiTheme="minorHAnsi" w:hAnsiTheme="minorHAnsi" w:cstheme="minorHAnsi"/>
        </w:rPr>
        <w:t xml:space="preserve"> </w:t>
      </w:r>
      <w:r w:rsidR="005048E8" w:rsidRPr="003578C8">
        <w:rPr>
          <w:rFonts w:asciiTheme="minorHAnsi" w:hAnsiTheme="minorHAnsi" w:cstheme="minorHAnsi"/>
        </w:rPr>
        <w:t>is now</w:t>
      </w:r>
      <w:r w:rsidRPr="003578C8">
        <w:rPr>
          <w:rFonts w:asciiTheme="minorHAnsi" w:hAnsiTheme="minorHAnsi" w:cstheme="minorHAnsi"/>
        </w:rPr>
        <w:t xml:space="preserve"> </w:t>
      </w:r>
      <w:r w:rsidR="00573520" w:rsidRPr="003578C8">
        <w:rPr>
          <w:rFonts w:asciiTheme="minorHAnsi" w:hAnsiTheme="minorHAnsi" w:cstheme="minorHAnsi"/>
        </w:rPr>
        <w:t xml:space="preserve">beginning the </w:t>
      </w:r>
      <w:r w:rsidRPr="003578C8">
        <w:rPr>
          <w:rFonts w:asciiTheme="minorHAnsi" w:hAnsiTheme="minorHAnsi" w:cstheme="minorHAnsi"/>
        </w:rPr>
        <w:t>OASIS standards development</w:t>
      </w:r>
      <w:r w:rsidR="00573520" w:rsidRPr="003578C8">
        <w:rPr>
          <w:rFonts w:asciiTheme="minorHAnsi" w:hAnsiTheme="minorHAnsi" w:cstheme="minorHAnsi"/>
        </w:rPr>
        <w:t xml:space="preserve"> process</w:t>
      </w:r>
      <w:r w:rsidRPr="003578C8">
        <w:rPr>
          <w:rFonts w:asciiTheme="minorHAnsi" w:hAnsiTheme="minorHAnsi" w:cstheme="minorHAnsi"/>
        </w:rPr>
        <w:t>.</w:t>
      </w:r>
      <w:r w:rsidRPr="003578C8">
        <w:rPr>
          <w:rFonts w:asciiTheme="minorHAnsi" w:hAnsiTheme="minorHAnsi" w:cstheme="minorHAnsi"/>
          <w:b/>
        </w:rPr>
        <w:t xml:space="preserve"> </w:t>
      </w:r>
      <w:r w:rsidR="00573520" w:rsidRPr="003578C8">
        <w:rPr>
          <w:rFonts w:asciiTheme="minorHAnsi" w:hAnsiTheme="minorHAnsi" w:cstheme="minorHAnsi"/>
          <w:b/>
        </w:rPr>
        <w:t xml:space="preserve"> </w:t>
      </w:r>
      <w:r w:rsidR="005048E8" w:rsidRPr="003578C8">
        <w:rPr>
          <w:rFonts w:asciiTheme="minorHAnsi" w:hAnsiTheme="minorHAnsi" w:cstheme="minorHAnsi"/>
        </w:rPr>
        <w:t>T</w:t>
      </w:r>
      <w:r w:rsidRPr="003578C8">
        <w:rPr>
          <w:rFonts w:asciiTheme="minorHAnsi" w:hAnsiTheme="minorHAnsi" w:cstheme="minorHAnsi"/>
        </w:rPr>
        <w:t>he EDXL-TEP standard is aimed at increased effectiveness of emergency medical services (EMS) management and patient tracking</w:t>
      </w:r>
      <w:r w:rsidR="003578C8" w:rsidRPr="003578C8">
        <w:rPr>
          <w:rFonts w:asciiTheme="minorHAnsi" w:hAnsiTheme="minorHAnsi" w:cstheme="minorHAnsi"/>
        </w:rPr>
        <w:t xml:space="preserve">.  A formal objective </w:t>
      </w:r>
      <w:r w:rsidR="00266B2A">
        <w:rPr>
          <w:rFonts w:asciiTheme="minorHAnsi" w:hAnsiTheme="minorHAnsi" w:cstheme="minorHAnsi"/>
        </w:rPr>
        <w:t>of the standard</w:t>
      </w:r>
      <w:r w:rsidR="003578C8" w:rsidRPr="003578C8">
        <w:rPr>
          <w:rFonts w:asciiTheme="minorHAnsi" w:hAnsiTheme="minorHAnsi" w:cstheme="minorHAnsi"/>
        </w:rPr>
        <w:t xml:space="preserve"> involves </w:t>
      </w:r>
      <w:r w:rsidRPr="003578C8">
        <w:rPr>
          <w:rFonts w:asciiTheme="minorHAnsi" w:hAnsiTheme="minorHAnsi" w:cstheme="minorHAnsi"/>
        </w:rPr>
        <w:t xml:space="preserve">TEP information exchange </w:t>
      </w:r>
      <w:r w:rsidR="005048E8" w:rsidRPr="003578C8">
        <w:rPr>
          <w:rFonts w:asciiTheme="minorHAnsi" w:hAnsiTheme="minorHAnsi" w:cstheme="minorHAnsi"/>
        </w:rPr>
        <w:t>with</w:t>
      </w:r>
      <w:r w:rsidRPr="003578C8">
        <w:rPr>
          <w:rFonts w:asciiTheme="minorHAnsi" w:hAnsiTheme="minorHAnsi" w:cstheme="minorHAnsi"/>
        </w:rPr>
        <w:t xml:space="preserve"> Hospitals </w:t>
      </w:r>
      <w:r w:rsidRPr="003578C8">
        <w:rPr>
          <w:rFonts w:asciiTheme="minorHAnsi" w:hAnsiTheme="minorHAnsi" w:cstheme="minorHAnsi"/>
          <w:i/>
        </w:rPr>
        <w:t xml:space="preserve">prior to patient </w:t>
      </w:r>
      <w:r w:rsidR="005048E8" w:rsidRPr="003578C8">
        <w:rPr>
          <w:rFonts w:asciiTheme="minorHAnsi" w:hAnsiTheme="minorHAnsi" w:cstheme="minorHAnsi"/>
          <w:i/>
        </w:rPr>
        <w:t>arrival</w:t>
      </w:r>
      <w:r w:rsidRPr="003578C8">
        <w:rPr>
          <w:rFonts w:asciiTheme="minorHAnsi" w:hAnsiTheme="minorHAnsi" w:cstheme="minorHAnsi"/>
        </w:rPr>
        <w:t xml:space="preserve">, </w:t>
      </w:r>
      <w:r w:rsidR="005048E8" w:rsidRPr="003578C8">
        <w:rPr>
          <w:rFonts w:asciiTheme="minorHAnsi" w:hAnsiTheme="minorHAnsi" w:cstheme="minorHAnsi"/>
        </w:rPr>
        <w:t>thus</w:t>
      </w:r>
      <w:r w:rsidR="003578C8" w:rsidRPr="003578C8">
        <w:rPr>
          <w:rFonts w:asciiTheme="minorHAnsi" w:hAnsiTheme="minorHAnsi" w:cstheme="minorHAnsi"/>
        </w:rPr>
        <w:t xml:space="preserve"> increasing</w:t>
      </w:r>
      <w:r w:rsidRPr="003578C8">
        <w:rPr>
          <w:rFonts w:asciiTheme="minorHAnsi" w:hAnsiTheme="minorHAnsi" w:cstheme="minorHAnsi"/>
        </w:rPr>
        <w:t xml:space="preserve"> preparation </w:t>
      </w:r>
      <w:r w:rsidR="005048E8" w:rsidRPr="003578C8">
        <w:rPr>
          <w:rFonts w:asciiTheme="minorHAnsi" w:hAnsiTheme="minorHAnsi" w:cstheme="minorHAnsi"/>
        </w:rPr>
        <w:t xml:space="preserve">and ensuring continuity </w:t>
      </w:r>
      <w:r w:rsidR="007E3DCA" w:rsidRPr="003578C8">
        <w:rPr>
          <w:rFonts w:asciiTheme="minorHAnsi" w:hAnsiTheme="minorHAnsi" w:cstheme="minorHAnsi"/>
        </w:rPr>
        <w:t>of</w:t>
      </w:r>
      <w:r w:rsidR="005048E8" w:rsidRPr="003578C8">
        <w:rPr>
          <w:rFonts w:asciiTheme="minorHAnsi" w:hAnsiTheme="minorHAnsi" w:cstheme="minorHAnsi"/>
        </w:rPr>
        <w:t xml:space="preserve"> </w:t>
      </w:r>
      <w:r w:rsidRPr="003578C8">
        <w:rPr>
          <w:rFonts w:asciiTheme="minorHAnsi" w:hAnsiTheme="minorHAnsi" w:cstheme="minorHAnsi"/>
        </w:rPr>
        <w:t>continued patient care</w:t>
      </w:r>
      <w:r w:rsidR="003578C8" w:rsidRPr="003578C8">
        <w:rPr>
          <w:rFonts w:asciiTheme="minorHAnsi" w:hAnsiTheme="minorHAnsi" w:cstheme="minorHAnsi"/>
        </w:rPr>
        <w:t>.  The practitioner community identified this as a key drive</w:t>
      </w:r>
      <w:r w:rsidR="003578C8">
        <w:rPr>
          <w:rFonts w:asciiTheme="minorHAnsi" w:hAnsiTheme="minorHAnsi" w:cstheme="minorHAnsi"/>
        </w:rPr>
        <w:t>r</w:t>
      </w:r>
      <w:r w:rsidR="003578C8" w:rsidRPr="003578C8">
        <w:rPr>
          <w:rFonts w:asciiTheme="minorHAnsi" w:hAnsiTheme="minorHAnsi" w:cstheme="minorHAnsi"/>
        </w:rPr>
        <w:t xml:space="preserve"> of s</w:t>
      </w:r>
      <w:r w:rsidR="003578C8">
        <w:rPr>
          <w:rFonts w:asciiTheme="minorHAnsi" w:hAnsiTheme="minorHAnsi" w:cstheme="minorHAnsi"/>
        </w:rPr>
        <w:t>ignificant value.</w:t>
      </w:r>
    </w:p>
    <w:p w:rsidR="00C27CEF" w:rsidRPr="00106373" w:rsidRDefault="00886408" w:rsidP="00C27CEF">
      <w:pPr>
        <w:pStyle w:val="Heading1"/>
        <w:numPr>
          <w:ilvl w:val="0"/>
          <w:numId w:val="2"/>
        </w:numPr>
        <w:spacing w:before="240"/>
        <w:rPr>
          <w:caps/>
        </w:rPr>
      </w:pPr>
      <w:r w:rsidRPr="00106373">
        <w:rPr>
          <w:caps/>
        </w:rPr>
        <w:t>Outcomes and objectives</w:t>
      </w:r>
    </w:p>
    <w:p w:rsidR="00C7755A" w:rsidRPr="00C7755A" w:rsidRDefault="00C7755A" w:rsidP="00C7755A">
      <w:pPr>
        <w:rPr>
          <w:highlight w:val="yellow"/>
        </w:rPr>
      </w:pPr>
    </w:p>
    <w:p w:rsidR="009B3E5B" w:rsidRPr="00586516" w:rsidRDefault="00C27CEF" w:rsidP="00E76FF0">
      <w:pPr>
        <w:numPr>
          <w:ilvl w:val="0"/>
          <w:numId w:val="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Common message routing</w:t>
      </w:r>
      <w:r w:rsidRPr="00734C8F">
        <w:rPr>
          <w:rFonts w:asciiTheme="minorHAnsi" w:hAnsiTheme="minorHAnsi" w:cstheme="minorHAnsi"/>
        </w:rPr>
        <w:t xml:space="preserve">.  </w:t>
      </w:r>
      <w:r w:rsidR="00734C8F">
        <w:rPr>
          <w:rFonts w:asciiTheme="minorHAnsi" w:hAnsiTheme="minorHAnsi" w:cstheme="minorHAnsi"/>
        </w:rPr>
        <w:t xml:space="preserve">Collaborate on common method(s) </w:t>
      </w:r>
      <w:r w:rsidR="00734C8F" w:rsidRPr="00734C8F">
        <w:rPr>
          <w:rFonts w:asciiTheme="minorHAnsi" w:hAnsiTheme="minorHAnsi" w:cstheme="minorHAnsi"/>
        </w:rPr>
        <w:t xml:space="preserve">to send, receive and make use </w:t>
      </w:r>
      <w:r w:rsidR="00734C8F" w:rsidRPr="00734C8F">
        <w:rPr>
          <w:rFonts w:asciiTheme="minorHAnsi" w:hAnsiTheme="minorHAnsi" w:cstheme="minorHAnsi"/>
        </w:rPr>
        <w:t>of standard data payloads</w:t>
      </w:r>
      <w:r w:rsidR="00734C8F">
        <w:rPr>
          <w:rFonts w:asciiTheme="minorHAnsi" w:hAnsiTheme="minorHAnsi" w:cstheme="minorHAnsi"/>
        </w:rPr>
        <w:t xml:space="preserve"> between organizations and systems that utilize EDXL standards and HL7 standards</w:t>
      </w:r>
      <w:r w:rsidR="00734C8F" w:rsidRPr="00734C8F">
        <w:rPr>
          <w:rFonts w:asciiTheme="minorHAnsi" w:hAnsiTheme="minorHAnsi" w:cstheme="minorHAnsi"/>
        </w:rPr>
        <w:t xml:space="preserve">.  </w:t>
      </w:r>
      <w:r w:rsidR="003D5C5A" w:rsidRPr="00905B9C">
        <w:rPr>
          <w:rFonts w:asciiTheme="minorHAnsi" w:hAnsiTheme="minorHAnsi" w:cstheme="minorHAnsi"/>
        </w:rPr>
        <w:t xml:space="preserve">While EDXL and HL7 each utilize their own “routing header”, </w:t>
      </w:r>
      <w:r w:rsidR="00A7702C" w:rsidRPr="00905B9C">
        <w:rPr>
          <w:rFonts w:asciiTheme="minorHAnsi" w:hAnsiTheme="minorHAnsi" w:cstheme="minorHAnsi"/>
        </w:rPr>
        <w:t xml:space="preserve">an approach to the routing of payloads </w:t>
      </w:r>
      <w:r w:rsidR="00981C6A" w:rsidRPr="00905B9C">
        <w:rPr>
          <w:rFonts w:asciiTheme="minorHAnsi" w:hAnsiTheme="minorHAnsi" w:cstheme="minorHAnsi"/>
        </w:rPr>
        <w:t>to and from these</w:t>
      </w:r>
      <w:r w:rsidR="00A7702C" w:rsidRPr="00905B9C">
        <w:rPr>
          <w:rFonts w:asciiTheme="minorHAnsi" w:hAnsiTheme="minorHAnsi" w:cstheme="minorHAnsi"/>
        </w:rPr>
        <w:t xml:space="preserve"> traditional domains </w:t>
      </w:r>
      <w:r w:rsidR="00905B9C" w:rsidRPr="00905B9C">
        <w:rPr>
          <w:rFonts w:asciiTheme="minorHAnsi" w:hAnsiTheme="minorHAnsi" w:cstheme="minorHAnsi"/>
        </w:rPr>
        <w:t>is</w:t>
      </w:r>
      <w:r w:rsidR="00A7702C" w:rsidRPr="00905B9C">
        <w:rPr>
          <w:rFonts w:asciiTheme="minorHAnsi" w:hAnsiTheme="minorHAnsi" w:cstheme="minorHAnsi"/>
        </w:rPr>
        <w:t xml:space="preserve"> desired</w:t>
      </w:r>
      <w:r w:rsidR="00981C6A" w:rsidRPr="00905B9C">
        <w:rPr>
          <w:rFonts w:asciiTheme="minorHAnsi" w:hAnsiTheme="minorHAnsi" w:cstheme="minorHAnsi"/>
        </w:rPr>
        <w:t>.</w:t>
      </w:r>
      <w:r w:rsidR="00995011">
        <w:rPr>
          <w:rFonts w:asciiTheme="minorHAnsi" w:hAnsiTheme="minorHAnsi" w:cstheme="minorHAnsi"/>
        </w:rPr>
        <w:t xml:space="preserve">  </w:t>
      </w:r>
      <w:r w:rsidR="00995011" w:rsidRPr="00995011">
        <w:rPr>
          <w:rFonts w:ascii="Calibri" w:hAnsi="Calibri" w:cs="Calibri"/>
        </w:rPr>
        <w:t xml:space="preserve">The OASIS and HL7 workgroups managing these standards artifacts should be encouraged to </w:t>
      </w:r>
      <w:r w:rsidR="001B5799">
        <w:rPr>
          <w:rFonts w:asciiTheme="minorHAnsi" w:hAnsiTheme="minorHAnsi" w:cstheme="minorHAnsi"/>
        </w:rPr>
        <w:t>cross</w:t>
      </w:r>
      <w:r w:rsidR="00995011" w:rsidRPr="00995011">
        <w:rPr>
          <w:rFonts w:ascii="Calibri" w:hAnsi="Calibri" w:cs="Calibri"/>
        </w:rPr>
        <w:t xml:space="preserve">-participate, cross-contribute material, and define </w:t>
      </w:r>
      <w:r w:rsidR="001B5799">
        <w:rPr>
          <w:rFonts w:asciiTheme="minorHAnsi" w:hAnsiTheme="minorHAnsi" w:cstheme="minorHAnsi"/>
        </w:rPr>
        <w:t>a common approach to</w:t>
      </w:r>
      <w:r w:rsidR="00995011" w:rsidRPr="00995011">
        <w:rPr>
          <w:rFonts w:ascii="Calibri" w:hAnsi="Calibri" w:cs="Calibri"/>
        </w:rPr>
        <w:t xml:space="preserve"> allow messaging parties to interoperate among those two methodologies.</w:t>
      </w:r>
    </w:p>
    <w:p w:rsidR="0002645C" w:rsidRDefault="0002645C" w:rsidP="00E76FF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02645C">
        <w:rPr>
          <w:rFonts w:asciiTheme="minorHAnsi" w:hAnsiTheme="minorHAnsi" w:cstheme="minorHAnsi"/>
          <w:b/>
        </w:rPr>
        <w:t>Tracking of Emergency Patients</w:t>
      </w:r>
      <w:r w:rsidR="00507F3F">
        <w:rPr>
          <w:rFonts w:asciiTheme="minorHAnsi" w:hAnsiTheme="minorHAnsi" w:cstheme="minorHAnsi"/>
          <w:b/>
        </w:rPr>
        <w:t xml:space="preserve"> (TEP) </w:t>
      </w:r>
      <w:r w:rsidR="003C2808">
        <w:rPr>
          <w:rFonts w:asciiTheme="minorHAnsi" w:hAnsiTheme="minorHAnsi" w:cstheme="minorHAnsi"/>
          <w:b/>
        </w:rPr>
        <w:t xml:space="preserve">and Tracking of Emergency Clients (TEC – evacuee tracking) </w:t>
      </w:r>
      <w:r w:rsidR="00507F3F">
        <w:rPr>
          <w:rFonts w:asciiTheme="minorHAnsi" w:hAnsiTheme="minorHAnsi" w:cstheme="minorHAnsi"/>
          <w:b/>
        </w:rPr>
        <w:t>standard development</w:t>
      </w:r>
      <w:r w:rsidRPr="0002645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 </w:t>
      </w:r>
      <w:r w:rsidR="007D1876">
        <w:rPr>
          <w:rFonts w:asciiTheme="minorHAnsi" w:hAnsiTheme="minorHAnsi" w:cstheme="minorHAnsi"/>
        </w:rPr>
        <w:t>Engage c</w:t>
      </w:r>
      <w:r w:rsidR="00265714">
        <w:rPr>
          <w:rFonts w:asciiTheme="minorHAnsi" w:hAnsiTheme="minorHAnsi" w:cstheme="minorHAnsi"/>
        </w:rPr>
        <w:t xml:space="preserve">ollaboration in the standards </w:t>
      </w:r>
      <w:r w:rsidR="003C2808">
        <w:rPr>
          <w:rFonts w:asciiTheme="minorHAnsi" w:hAnsiTheme="minorHAnsi" w:cstheme="minorHAnsi"/>
        </w:rPr>
        <w:t xml:space="preserve">development process and </w:t>
      </w:r>
      <w:r w:rsidR="007D1876">
        <w:rPr>
          <w:rFonts w:asciiTheme="minorHAnsi" w:hAnsiTheme="minorHAnsi" w:cstheme="minorHAnsi"/>
        </w:rPr>
        <w:t>p</w:t>
      </w:r>
      <w:r w:rsidR="003C2808" w:rsidRPr="003C2808">
        <w:rPr>
          <w:rFonts w:asciiTheme="minorHAnsi" w:hAnsiTheme="minorHAnsi" w:cstheme="minorHAnsi"/>
        </w:rPr>
        <w:t xml:space="preserve">romote effective and consistent use of HL7 concepts applicable to the </w:t>
      </w:r>
      <w:r w:rsidR="00C6249D">
        <w:rPr>
          <w:rFonts w:asciiTheme="minorHAnsi" w:hAnsiTheme="minorHAnsi" w:cstheme="minorHAnsi"/>
        </w:rPr>
        <w:t>d</w:t>
      </w:r>
      <w:r w:rsidR="003C2808" w:rsidRPr="003C2808">
        <w:rPr>
          <w:rFonts w:asciiTheme="minorHAnsi" w:hAnsiTheme="minorHAnsi" w:cstheme="minorHAnsi"/>
        </w:rPr>
        <w:t>evelopment of OASIS EDXL-TEP, EDXL-TEC and other</w:t>
      </w:r>
      <w:r w:rsidR="003C2808">
        <w:rPr>
          <w:rFonts w:asciiTheme="minorHAnsi" w:hAnsiTheme="minorHAnsi" w:cstheme="minorHAnsi"/>
        </w:rPr>
        <w:t>s as</w:t>
      </w:r>
      <w:r w:rsidR="003C2808" w:rsidRPr="003C2808">
        <w:rPr>
          <w:rFonts w:asciiTheme="minorHAnsi" w:hAnsiTheme="minorHAnsi" w:cstheme="minorHAnsi"/>
        </w:rPr>
        <w:t xml:space="preserve"> applicable.  </w:t>
      </w:r>
    </w:p>
    <w:p w:rsidR="00490003" w:rsidRPr="00490003" w:rsidRDefault="00507F3F" w:rsidP="00490003">
      <w:pPr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Facilitate c</w:t>
      </w:r>
      <w:r w:rsidR="00490003" w:rsidRPr="00490003">
        <w:rPr>
          <w:rFonts w:asciiTheme="minorHAnsi" w:hAnsiTheme="minorHAnsi" w:cstheme="minorHAnsi"/>
        </w:rPr>
        <w:t xml:space="preserve">ommon understanding of the intent of TEP as a standard for data exchange and input to incoming </w:t>
      </w:r>
      <w:r w:rsidR="00FA1D24">
        <w:rPr>
          <w:rFonts w:asciiTheme="minorHAnsi" w:hAnsiTheme="minorHAnsi" w:cstheme="minorHAnsi"/>
        </w:rPr>
        <w:t>patient care.</w:t>
      </w:r>
    </w:p>
    <w:p w:rsidR="00D93918" w:rsidRDefault="009E66E4" w:rsidP="00D93918">
      <w:pPr>
        <w:numPr>
          <w:ilvl w:val="1"/>
          <w:numId w:val="8"/>
        </w:numPr>
        <w:rPr>
          <w:rFonts w:asciiTheme="minorHAnsi" w:hAnsiTheme="minorHAnsi" w:cstheme="minorHAnsi"/>
        </w:rPr>
      </w:pPr>
      <w:r w:rsidRPr="009E66E4">
        <w:rPr>
          <w:rFonts w:asciiTheme="minorHAnsi" w:hAnsiTheme="minorHAnsi" w:cstheme="minorHAnsi"/>
        </w:rPr>
        <w:t xml:space="preserve">Define and implement a process for collaboration between OASIS and HL7 in the </w:t>
      </w:r>
      <w:r>
        <w:rPr>
          <w:rFonts w:asciiTheme="minorHAnsi" w:hAnsiTheme="minorHAnsi" w:cstheme="minorHAnsi"/>
        </w:rPr>
        <w:t>development of the TEP standard.</w:t>
      </w:r>
    </w:p>
    <w:p w:rsidR="00576D8F" w:rsidRDefault="00576D8F" w:rsidP="00576D8F">
      <w:pPr>
        <w:numPr>
          <w:ilvl w:val="1"/>
          <w:numId w:val="8"/>
        </w:numPr>
        <w:rPr>
          <w:rFonts w:asciiTheme="minorHAnsi" w:hAnsiTheme="minorHAnsi" w:cstheme="minorHAnsi"/>
        </w:rPr>
      </w:pPr>
      <w:r w:rsidRPr="007E63AF">
        <w:rPr>
          <w:rFonts w:asciiTheme="minorHAnsi" w:hAnsiTheme="minorHAnsi" w:cstheme="minorHAnsi"/>
        </w:rPr>
        <w:t>Coordination of standards development activities including draft document review, ballot cycle coordination, comment disposition and sharing of implementation experience.</w:t>
      </w:r>
    </w:p>
    <w:p w:rsidR="00576D8F" w:rsidRPr="001505CA" w:rsidRDefault="001505CA" w:rsidP="00576D8F">
      <w:pPr>
        <w:numPr>
          <w:ilvl w:val="1"/>
          <w:numId w:val="8"/>
        </w:numPr>
        <w:rPr>
          <w:rFonts w:asciiTheme="minorHAnsi" w:hAnsiTheme="minorHAnsi" w:cstheme="minorHAnsi"/>
        </w:rPr>
      </w:pPr>
      <w:r w:rsidRPr="001505CA">
        <w:rPr>
          <w:rFonts w:asciiTheme="minorHAnsi" w:hAnsiTheme="minorHAnsi" w:cstheme="minorHAnsi"/>
        </w:rPr>
        <w:t xml:space="preserve">Identify the appropriate role of the HL7 RIM in the development and use of </w:t>
      </w:r>
      <w:r w:rsidRPr="001505CA">
        <w:rPr>
          <w:rFonts w:asciiTheme="minorHAnsi" w:hAnsiTheme="minorHAnsi" w:cstheme="minorHAnsi"/>
        </w:rPr>
        <w:t xml:space="preserve">applicable </w:t>
      </w:r>
      <w:r w:rsidRPr="001505CA">
        <w:rPr>
          <w:rFonts w:asciiTheme="minorHAnsi" w:hAnsiTheme="minorHAnsi" w:cstheme="minorHAnsi"/>
        </w:rPr>
        <w:t>OASIS EDXL standards</w:t>
      </w:r>
      <w:r>
        <w:rPr>
          <w:rFonts w:asciiTheme="minorHAnsi" w:hAnsiTheme="minorHAnsi" w:cstheme="minorHAnsi"/>
        </w:rPr>
        <w:t xml:space="preserve"> and </w:t>
      </w:r>
      <w:r w:rsidR="00576D8F" w:rsidRPr="001505CA">
        <w:rPr>
          <w:rFonts w:asciiTheme="minorHAnsi" w:hAnsiTheme="minorHAnsi" w:cstheme="minorHAnsi"/>
        </w:rPr>
        <w:t>opportunities for HL7 / NEMSIS RIM and other vocabularies to fill the requirements of applicable OASIS message elements or constructs.</w:t>
      </w:r>
    </w:p>
    <w:p w:rsidR="00CC52C4" w:rsidRDefault="00576D8F" w:rsidP="00CC52C4">
      <w:pPr>
        <w:numPr>
          <w:ilvl w:val="1"/>
          <w:numId w:val="8"/>
        </w:numPr>
        <w:rPr>
          <w:szCs w:val="20"/>
        </w:rPr>
      </w:pPr>
      <w:r w:rsidRPr="00D71AEA">
        <w:rPr>
          <w:rFonts w:asciiTheme="minorHAnsi" w:hAnsiTheme="minorHAnsi" w:cstheme="minorHAnsi"/>
        </w:rPr>
        <w:t>Identify and maintain the appropriate use of Healthcare Data Types in</w:t>
      </w:r>
      <w:r w:rsidR="009E6B74">
        <w:rPr>
          <w:rFonts w:asciiTheme="minorHAnsi" w:hAnsiTheme="minorHAnsi" w:cstheme="minorHAnsi"/>
        </w:rPr>
        <w:t xml:space="preserve"> applicable</w:t>
      </w:r>
      <w:r w:rsidRPr="00D71AEA">
        <w:rPr>
          <w:rFonts w:asciiTheme="minorHAnsi" w:hAnsiTheme="minorHAnsi" w:cstheme="minorHAnsi"/>
        </w:rPr>
        <w:t xml:space="preserve"> OASIS EDXL standards based on ISO 21090 </w:t>
      </w:r>
      <w:r w:rsidRPr="00D71AEA">
        <w:rPr>
          <w:rFonts w:asciiTheme="minorHAnsi" w:hAnsiTheme="minorHAnsi" w:cstheme="minorHAnsi"/>
          <w:bCs/>
        </w:rPr>
        <w:t>Health Informatics</w:t>
      </w:r>
      <w:r w:rsidR="009E6B74">
        <w:rPr>
          <w:rFonts w:asciiTheme="minorHAnsi" w:hAnsiTheme="minorHAnsi" w:cstheme="minorHAnsi"/>
          <w:bCs/>
        </w:rPr>
        <w:t>.</w:t>
      </w:r>
    </w:p>
    <w:p w:rsidR="00CC52C4" w:rsidRPr="00CC52C4" w:rsidRDefault="0000015B" w:rsidP="00CC52C4">
      <w:pPr>
        <w:numPr>
          <w:ilvl w:val="1"/>
          <w:numId w:val="8"/>
        </w:numPr>
        <w:rPr>
          <w:szCs w:val="20"/>
        </w:rPr>
      </w:pPr>
      <w:r>
        <w:rPr>
          <w:rFonts w:asciiTheme="minorHAnsi" w:hAnsiTheme="minorHAnsi" w:cstheme="minorHAnsi"/>
        </w:rPr>
        <w:t xml:space="preserve">Provide </w:t>
      </w:r>
      <w:r w:rsidRPr="0000015B">
        <w:rPr>
          <w:rFonts w:asciiTheme="minorHAnsi" w:hAnsiTheme="minorHAnsi" w:cstheme="minorHAnsi"/>
        </w:rPr>
        <w:t>opportunities for feedback and participation from the</w:t>
      </w:r>
      <w:r w:rsidR="00450315">
        <w:rPr>
          <w:rFonts w:asciiTheme="minorHAnsi" w:hAnsiTheme="minorHAnsi" w:cstheme="minorHAnsi"/>
        </w:rPr>
        <w:t xml:space="preserve"> appropriate</w:t>
      </w:r>
      <w:r w:rsidRPr="0000015B">
        <w:rPr>
          <w:rFonts w:asciiTheme="minorHAnsi" w:hAnsiTheme="minorHAnsi" w:cstheme="minorHAnsi"/>
        </w:rPr>
        <w:t xml:space="preserve"> HL7 stakeholders commun</w:t>
      </w:r>
      <w:r>
        <w:rPr>
          <w:rFonts w:asciiTheme="minorHAnsi" w:hAnsiTheme="minorHAnsi" w:cstheme="minorHAnsi"/>
        </w:rPr>
        <w:t>ities in</w:t>
      </w:r>
      <w:r w:rsidR="00CC52C4" w:rsidRPr="00CC52C4">
        <w:rPr>
          <w:rFonts w:asciiTheme="minorHAnsi" w:hAnsiTheme="minorHAnsi" w:cstheme="minorHAnsi"/>
        </w:rPr>
        <w:t xml:space="preserve"> </w:t>
      </w:r>
      <w:r w:rsidRPr="0000015B">
        <w:rPr>
          <w:rFonts w:asciiTheme="minorHAnsi" w:hAnsiTheme="minorHAnsi" w:cstheme="minorHAnsi"/>
        </w:rPr>
        <w:t xml:space="preserve">applicable OASIS EDXL </w:t>
      </w:r>
      <w:r>
        <w:rPr>
          <w:rFonts w:asciiTheme="minorHAnsi" w:hAnsiTheme="minorHAnsi" w:cstheme="minorHAnsi"/>
        </w:rPr>
        <w:t>standards.</w:t>
      </w:r>
    </w:p>
    <w:p w:rsidR="0095595F" w:rsidRDefault="00FA3E3F" w:rsidP="00E76FF0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586516">
        <w:rPr>
          <w:rFonts w:asciiTheme="minorHAnsi" w:hAnsiTheme="minorHAnsi" w:cstheme="minorHAnsi"/>
          <w:b/>
        </w:rPr>
        <w:t xml:space="preserve">Facilitate </w:t>
      </w:r>
      <w:r w:rsidR="009F01F8">
        <w:rPr>
          <w:rFonts w:asciiTheme="minorHAnsi" w:hAnsiTheme="minorHAnsi" w:cstheme="minorHAnsi"/>
          <w:b/>
        </w:rPr>
        <w:t xml:space="preserve">TEP Recognition and Adoption.  </w:t>
      </w:r>
    </w:p>
    <w:p w:rsidR="00FA3E3F" w:rsidRPr="009F01F8" w:rsidRDefault="00C95417" w:rsidP="0095595F">
      <w:pPr>
        <w:numPr>
          <w:ilvl w:val="1"/>
          <w:numId w:val="8"/>
        </w:numPr>
        <w:rPr>
          <w:rFonts w:asciiTheme="minorHAnsi" w:hAnsiTheme="minorHAnsi" w:cstheme="minorHAnsi"/>
        </w:rPr>
      </w:pPr>
      <w:r w:rsidRPr="00450315">
        <w:rPr>
          <w:rFonts w:asciiTheme="minorHAnsi" w:hAnsiTheme="minorHAnsi" w:cstheme="minorHAnsi"/>
        </w:rPr>
        <w:lastRenderedPageBreak/>
        <w:t xml:space="preserve">Facilitate appropriate endorsement and/or recognition of the TEP standard, encouraging (among others) Hospitals and other definitive care providers to adopt and </w:t>
      </w:r>
      <w:r w:rsidRPr="00450315">
        <w:rPr>
          <w:rFonts w:asciiTheme="minorHAnsi" w:hAnsiTheme="minorHAnsi" w:cstheme="minorHAnsi"/>
        </w:rPr>
        <w:t>implement the TEP standard</w:t>
      </w:r>
      <w:r w:rsidR="00154B69" w:rsidRPr="00450315">
        <w:rPr>
          <w:rFonts w:asciiTheme="minorHAnsi" w:hAnsiTheme="minorHAnsi" w:cstheme="minorHAnsi"/>
        </w:rPr>
        <w:t xml:space="preserve">, </w:t>
      </w:r>
      <w:r w:rsidRPr="00450315">
        <w:rPr>
          <w:rFonts w:asciiTheme="minorHAnsi" w:hAnsiTheme="minorHAnsi" w:cstheme="minorHAnsi"/>
        </w:rPr>
        <w:t xml:space="preserve">and use </w:t>
      </w:r>
      <w:r w:rsidR="00BA183E" w:rsidRPr="00450315">
        <w:rPr>
          <w:rFonts w:asciiTheme="minorHAnsi" w:hAnsiTheme="minorHAnsi" w:cstheme="minorHAnsi"/>
        </w:rPr>
        <w:t>that</w:t>
      </w:r>
      <w:r w:rsidR="00050BDB" w:rsidRPr="00450315">
        <w:rPr>
          <w:rFonts w:asciiTheme="minorHAnsi" w:hAnsiTheme="minorHAnsi" w:cstheme="minorHAnsi"/>
        </w:rPr>
        <w:t xml:space="preserve"> </w:t>
      </w:r>
      <w:r w:rsidRPr="00450315">
        <w:rPr>
          <w:rFonts w:asciiTheme="minorHAnsi" w:hAnsiTheme="minorHAnsi" w:cstheme="minorHAnsi"/>
        </w:rPr>
        <w:t xml:space="preserve">data in their existing applications to </w:t>
      </w:r>
      <w:r w:rsidRPr="00450315">
        <w:rPr>
          <w:rFonts w:asciiTheme="minorHAnsi" w:hAnsiTheme="minorHAnsi" w:cstheme="minorHAnsi"/>
        </w:rPr>
        <w:t>improve preparation for emergency patient definitive care.</w:t>
      </w:r>
      <w:r w:rsidR="00336C56" w:rsidRPr="00450315">
        <w:rPr>
          <w:rFonts w:asciiTheme="minorHAnsi" w:hAnsiTheme="minorHAnsi" w:cstheme="minorHAnsi"/>
        </w:rPr>
        <w:t xml:space="preserve">   </w:t>
      </w:r>
      <w:r w:rsidR="00AB45D7" w:rsidRPr="00450315">
        <w:rPr>
          <w:rFonts w:asciiTheme="minorHAnsi" w:hAnsiTheme="minorHAnsi" w:cstheme="minorHAnsi"/>
        </w:rPr>
        <w:t xml:space="preserve">Facilitate appropriate level of collaboration and communication with </w:t>
      </w:r>
      <w:r w:rsidR="00FA3E3F" w:rsidRPr="00450315">
        <w:rPr>
          <w:rFonts w:asciiTheme="minorHAnsi" w:hAnsiTheme="minorHAnsi" w:cstheme="minorHAnsi"/>
        </w:rPr>
        <w:t>HHS</w:t>
      </w:r>
      <w:r w:rsidR="00AB45D7" w:rsidRPr="00450315">
        <w:rPr>
          <w:rFonts w:asciiTheme="minorHAnsi" w:hAnsiTheme="minorHAnsi" w:cstheme="minorHAnsi"/>
        </w:rPr>
        <w:t xml:space="preserve">, facilitating support and communication.   </w:t>
      </w:r>
    </w:p>
    <w:p w:rsidR="006B35E8" w:rsidRDefault="00FA3E3F" w:rsidP="006B35E8">
      <w:pPr>
        <w:numPr>
          <w:ilvl w:val="2"/>
          <w:numId w:val="8"/>
        </w:numPr>
        <w:rPr>
          <w:rFonts w:asciiTheme="minorHAnsi" w:hAnsiTheme="minorHAnsi" w:cstheme="minorHAnsi"/>
        </w:rPr>
      </w:pPr>
      <w:r w:rsidRPr="00450315">
        <w:rPr>
          <w:rFonts w:asciiTheme="minorHAnsi" w:hAnsiTheme="minorHAnsi" w:cstheme="minorHAnsi"/>
        </w:rPr>
        <w:t>I</w:t>
      </w:r>
      <w:r w:rsidRPr="009F01F8">
        <w:rPr>
          <w:rFonts w:asciiTheme="minorHAnsi" w:hAnsiTheme="minorHAnsi" w:cstheme="minorHAnsi"/>
        </w:rPr>
        <w:t xml:space="preserve">nvestigate </w:t>
      </w:r>
      <w:r w:rsidR="00AB45D7">
        <w:rPr>
          <w:rFonts w:asciiTheme="minorHAnsi" w:hAnsiTheme="minorHAnsi" w:cstheme="minorHAnsi"/>
        </w:rPr>
        <w:t xml:space="preserve">the potential </w:t>
      </w:r>
      <w:r w:rsidRPr="009F01F8">
        <w:rPr>
          <w:rFonts w:asciiTheme="minorHAnsi" w:hAnsiTheme="minorHAnsi" w:cstheme="minorHAnsi"/>
        </w:rPr>
        <w:t xml:space="preserve">need and challenges to an </w:t>
      </w:r>
      <w:r w:rsidR="009F1110">
        <w:rPr>
          <w:rFonts w:asciiTheme="minorHAnsi" w:hAnsiTheme="minorHAnsi" w:cstheme="minorHAnsi"/>
        </w:rPr>
        <w:t>agreement</w:t>
      </w:r>
      <w:r w:rsidRPr="009F01F8">
        <w:rPr>
          <w:rFonts w:asciiTheme="minorHAnsi" w:hAnsiTheme="minorHAnsi" w:cstheme="minorHAnsi"/>
        </w:rPr>
        <w:t xml:space="preserve"> between DHS and HHS.</w:t>
      </w:r>
    </w:p>
    <w:p w:rsidR="009F01F8" w:rsidRPr="006B35E8" w:rsidRDefault="006B35E8" w:rsidP="006B35E8">
      <w:pPr>
        <w:numPr>
          <w:ilvl w:val="2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Pursue c</w:t>
      </w:r>
      <w:r w:rsidR="009F01F8" w:rsidRPr="006B35E8">
        <w:rPr>
          <w:rFonts w:asciiTheme="minorHAnsi" w:hAnsiTheme="minorHAnsi" w:cstheme="minorHAnsi"/>
        </w:rPr>
        <w:t>ommon gr</w:t>
      </w:r>
      <w:r>
        <w:rPr>
          <w:rFonts w:asciiTheme="minorHAnsi" w:hAnsiTheme="minorHAnsi" w:cstheme="minorHAnsi"/>
        </w:rPr>
        <w:t>ant language across DHS and HHS</w:t>
      </w:r>
    </w:p>
    <w:p w:rsidR="001C103C" w:rsidRPr="009F01F8" w:rsidRDefault="001C103C" w:rsidP="001C103C">
      <w:pPr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Consistently support </w:t>
      </w:r>
      <w:r w:rsidRPr="00B13CD8">
        <w:rPr>
          <w:rFonts w:asciiTheme="minorHAnsi" w:hAnsiTheme="minorHAnsi" w:cstheme="minorHAnsi"/>
          <w:b/>
        </w:rPr>
        <w:t>HIPAA and Privacy Requirements.</w:t>
      </w:r>
      <w:r>
        <w:rPr>
          <w:rFonts w:asciiTheme="minorHAnsi" w:hAnsiTheme="minorHAnsi" w:cstheme="minorHAnsi"/>
        </w:rPr>
        <w:t xml:space="preserve">  Assist in pro-actively addressing </w:t>
      </w:r>
      <w:r w:rsidRPr="00B13CD8">
        <w:rPr>
          <w:rFonts w:asciiTheme="minorHAnsi" w:hAnsiTheme="minorHAnsi" w:cstheme="minorHAnsi"/>
        </w:rPr>
        <w:t>potential privacy</w:t>
      </w:r>
      <w:r>
        <w:rPr>
          <w:rFonts w:asciiTheme="minorHAnsi" w:hAnsiTheme="minorHAnsi" w:cstheme="minorHAnsi"/>
        </w:rPr>
        <w:t xml:space="preserve"> concerns or perceptions, </w:t>
      </w:r>
      <w:r w:rsidRPr="00B13CD8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address HIPAA</w:t>
      </w:r>
      <w:r w:rsidRPr="00B13CD8">
        <w:rPr>
          <w:rFonts w:asciiTheme="minorHAnsi" w:hAnsiTheme="minorHAnsi" w:cstheme="minorHAnsi"/>
        </w:rPr>
        <w:t xml:space="preserve"> </w:t>
      </w:r>
      <w:r w:rsidRPr="009F01F8">
        <w:rPr>
          <w:rFonts w:asciiTheme="minorHAnsi" w:hAnsiTheme="minorHAnsi" w:cstheme="minorHAnsi"/>
        </w:rPr>
        <w:t>requirement</w:t>
      </w:r>
      <w:r>
        <w:rPr>
          <w:rFonts w:asciiTheme="minorHAnsi" w:hAnsiTheme="minorHAnsi" w:cstheme="minorHAnsi"/>
        </w:rPr>
        <w:t xml:space="preserve">s in the </w:t>
      </w:r>
      <w:r w:rsidRPr="009F01F8">
        <w:rPr>
          <w:rFonts w:asciiTheme="minorHAnsi" w:hAnsiTheme="minorHAnsi" w:cstheme="minorHAnsi"/>
        </w:rPr>
        <w:t xml:space="preserve">implementation of </w:t>
      </w:r>
      <w:r>
        <w:rPr>
          <w:rFonts w:asciiTheme="minorHAnsi" w:hAnsiTheme="minorHAnsi" w:cstheme="minorHAnsi"/>
        </w:rPr>
        <w:t xml:space="preserve">the standard.  </w:t>
      </w:r>
      <w:r w:rsidRPr="001C103C">
        <w:rPr>
          <w:rFonts w:ascii="Calibri" w:hAnsi="Calibri" w:cs="Calibri"/>
        </w:rPr>
        <w:t xml:space="preserve">Review of the TEP </w:t>
      </w:r>
      <w:r>
        <w:rPr>
          <w:rFonts w:asciiTheme="minorHAnsi" w:hAnsiTheme="minorHAnsi" w:cstheme="minorHAnsi"/>
        </w:rPr>
        <w:t>/ TEC</w:t>
      </w:r>
      <w:r w:rsidRPr="001C103C">
        <w:rPr>
          <w:rFonts w:ascii="Calibri" w:hAnsi="Calibri" w:cs="Calibri"/>
        </w:rPr>
        <w:t xml:space="preserve"> standards should include opportunities for feedback and participation from both </w:t>
      </w:r>
      <w:r w:rsidR="009F1110" w:rsidRPr="001C103C">
        <w:rPr>
          <w:rFonts w:ascii="Calibri" w:hAnsi="Calibri" w:cs="Calibri"/>
        </w:rPr>
        <w:t>stakeholders’</w:t>
      </w:r>
      <w:r w:rsidRPr="001C103C">
        <w:rPr>
          <w:rFonts w:ascii="Calibri" w:hAnsi="Calibri" w:cs="Calibri"/>
        </w:rPr>
        <w:t xml:space="preserve"> communities regarding </w:t>
      </w:r>
      <w:r>
        <w:rPr>
          <w:rFonts w:asciiTheme="minorHAnsi" w:hAnsiTheme="minorHAnsi" w:cstheme="minorHAnsi"/>
        </w:rPr>
        <w:t>assistance</w:t>
      </w:r>
      <w:r w:rsidRPr="001C103C">
        <w:rPr>
          <w:rFonts w:ascii="Calibri" w:hAnsi="Calibri" w:cs="Calibri"/>
        </w:rPr>
        <w:t xml:space="preserve"> in pro-actively addressing potential privacy concerns or perceptions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Pr="009F01F8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NOTE:  This is </w:t>
      </w:r>
      <w:r w:rsidRPr="009F01F8">
        <w:rPr>
          <w:rFonts w:asciiTheme="minorHAnsi" w:hAnsiTheme="minorHAnsi" w:cstheme="minorHAnsi"/>
        </w:rPr>
        <w:t>also a sub-task under the EDXL-TEC practitioner Steering Committee process)</w:t>
      </w:r>
    </w:p>
    <w:p w:rsidR="009D3C15" w:rsidRDefault="0098498C" w:rsidP="00313AF6">
      <w:pPr>
        <w:numPr>
          <w:ilvl w:val="0"/>
          <w:numId w:val="8"/>
        </w:numPr>
        <w:rPr>
          <w:rFonts w:asciiTheme="minorHAnsi" w:hAnsiTheme="minorHAnsi" w:cstheme="minorHAnsi"/>
        </w:rPr>
      </w:pPr>
      <w:r w:rsidRPr="00313AF6">
        <w:rPr>
          <w:rFonts w:asciiTheme="minorHAnsi" w:hAnsiTheme="minorHAnsi" w:cstheme="minorHAnsi"/>
          <w:b/>
        </w:rPr>
        <w:t>Outreach and education</w:t>
      </w:r>
      <w:r w:rsidR="00313AF6">
        <w:rPr>
          <w:rFonts w:asciiTheme="minorHAnsi" w:hAnsiTheme="minorHAnsi" w:cstheme="minorHAnsi"/>
          <w:b/>
        </w:rPr>
        <w:t>.</w:t>
      </w:r>
      <w:r w:rsidRPr="00313AF6">
        <w:rPr>
          <w:rFonts w:asciiTheme="minorHAnsi" w:hAnsiTheme="minorHAnsi" w:cstheme="minorHAnsi"/>
        </w:rPr>
        <w:t xml:space="preserve"> </w:t>
      </w:r>
      <w:r w:rsidR="00313AF6">
        <w:rPr>
          <w:rFonts w:asciiTheme="minorHAnsi" w:hAnsiTheme="minorHAnsi" w:cstheme="minorHAnsi"/>
        </w:rPr>
        <w:t xml:space="preserve"> </w:t>
      </w:r>
      <w:r w:rsidR="00702CD9" w:rsidRPr="00702CD9">
        <w:rPr>
          <w:rFonts w:ascii="Calibri" w:hAnsi="Calibri" w:cs="Calibri"/>
        </w:rPr>
        <w:t xml:space="preserve">HL7 and OASIS members should actively seek other points of possible interoperability or mapping, and opportunities to </w:t>
      </w:r>
      <w:r w:rsidR="00702CD9">
        <w:rPr>
          <w:rFonts w:asciiTheme="minorHAnsi" w:hAnsiTheme="minorHAnsi" w:cstheme="minorHAnsi"/>
        </w:rPr>
        <w:t>c</w:t>
      </w:r>
      <w:r w:rsidR="00313AF6">
        <w:rPr>
          <w:rFonts w:asciiTheme="minorHAnsi" w:hAnsiTheme="minorHAnsi" w:cstheme="minorHAnsi"/>
        </w:rPr>
        <w:t xml:space="preserve">ollaborate in development of </w:t>
      </w:r>
      <w:r w:rsidRPr="00313AF6">
        <w:rPr>
          <w:rFonts w:asciiTheme="minorHAnsi" w:hAnsiTheme="minorHAnsi" w:cstheme="minorHAnsi"/>
        </w:rPr>
        <w:t>policy,</w:t>
      </w:r>
      <w:r w:rsidR="009D3C15" w:rsidRPr="00313AF6">
        <w:rPr>
          <w:rFonts w:asciiTheme="minorHAnsi" w:hAnsiTheme="minorHAnsi" w:cstheme="minorHAnsi"/>
        </w:rPr>
        <w:t xml:space="preserve"> </w:t>
      </w:r>
      <w:r w:rsidR="00097348" w:rsidRPr="00313AF6">
        <w:rPr>
          <w:rFonts w:asciiTheme="minorHAnsi" w:hAnsiTheme="minorHAnsi" w:cstheme="minorHAnsi"/>
        </w:rPr>
        <w:t xml:space="preserve">procedures, adoption materials, </w:t>
      </w:r>
      <w:r w:rsidR="009D3C15" w:rsidRPr="00313AF6">
        <w:rPr>
          <w:rFonts w:asciiTheme="minorHAnsi" w:hAnsiTheme="minorHAnsi" w:cstheme="minorHAnsi"/>
        </w:rPr>
        <w:t>whitepapers</w:t>
      </w:r>
      <w:r w:rsidRPr="00313AF6">
        <w:rPr>
          <w:rFonts w:asciiTheme="minorHAnsi" w:hAnsiTheme="minorHAnsi" w:cstheme="minorHAnsi"/>
        </w:rPr>
        <w:t xml:space="preserve">, </w:t>
      </w:r>
      <w:r w:rsidR="00313AF6">
        <w:rPr>
          <w:rFonts w:asciiTheme="minorHAnsi" w:hAnsiTheme="minorHAnsi" w:cstheme="minorHAnsi"/>
        </w:rPr>
        <w:t xml:space="preserve">presentations, conferences </w:t>
      </w:r>
      <w:r w:rsidRPr="00313AF6">
        <w:rPr>
          <w:rFonts w:asciiTheme="minorHAnsi" w:hAnsiTheme="minorHAnsi" w:cstheme="minorHAnsi"/>
        </w:rPr>
        <w:t>or other appropriate forms of guidance or communication</w:t>
      </w:r>
      <w:r w:rsidR="009D3C15" w:rsidRPr="00313AF6">
        <w:rPr>
          <w:rFonts w:asciiTheme="minorHAnsi" w:hAnsiTheme="minorHAnsi" w:cstheme="minorHAnsi"/>
        </w:rPr>
        <w:t xml:space="preserve"> to assist education</w:t>
      </w:r>
      <w:r w:rsidR="005D1C36" w:rsidRPr="00313AF6">
        <w:rPr>
          <w:rFonts w:asciiTheme="minorHAnsi" w:hAnsiTheme="minorHAnsi" w:cstheme="minorHAnsi"/>
        </w:rPr>
        <w:t>,</w:t>
      </w:r>
      <w:r w:rsidR="009D3C15" w:rsidRPr="00313AF6">
        <w:rPr>
          <w:rFonts w:asciiTheme="minorHAnsi" w:hAnsiTheme="minorHAnsi" w:cstheme="minorHAnsi"/>
        </w:rPr>
        <w:t xml:space="preserve"> outreach</w:t>
      </w:r>
      <w:r w:rsidR="005D1C36" w:rsidRPr="00313AF6">
        <w:rPr>
          <w:rFonts w:asciiTheme="minorHAnsi" w:hAnsiTheme="minorHAnsi" w:cstheme="minorHAnsi"/>
        </w:rPr>
        <w:t xml:space="preserve">, adoption and </w:t>
      </w:r>
      <w:r w:rsidR="005D1C36" w:rsidRPr="00313AF6">
        <w:rPr>
          <w:rFonts w:asciiTheme="minorHAnsi" w:hAnsiTheme="minorHAnsi" w:cstheme="minorHAnsi"/>
        </w:rPr>
        <w:t>perceptions as they may exist.</w:t>
      </w:r>
    </w:p>
    <w:p w:rsidR="001001D9" w:rsidRPr="007E63AF" w:rsidRDefault="00524024">
      <w:pPr>
        <w:numPr>
          <w:ilvl w:val="0"/>
          <w:numId w:val="8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Standards Maintenance.  </w:t>
      </w:r>
      <w:r w:rsidR="00E00AE9" w:rsidRPr="007E63AF">
        <w:rPr>
          <w:rFonts w:asciiTheme="minorHAnsi" w:hAnsiTheme="minorHAnsi" w:cstheme="minorHAnsi"/>
        </w:rPr>
        <w:t xml:space="preserve">Investigation of the need for </w:t>
      </w:r>
      <w:r w:rsidR="001001D9" w:rsidRPr="007E63AF">
        <w:rPr>
          <w:rFonts w:asciiTheme="minorHAnsi" w:hAnsiTheme="minorHAnsi" w:cstheme="minorHAnsi"/>
        </w:rPr>
        <w:t xml:space="preserve">coordinated maintenance of the standards </w:t>
      </w:r>
      <w:r w:rsidR="001001D9" w:rsidRPr="007E63AF">
        <w:rPr>
          <w:rFonts w:asciiTheme="minorHAnsi" w:hAnsiTheme="minorHAnsi" w:cstheme="minorHAnsi"/>
          <w:bCs/>
        </w:rPr>
        <w:t>to ensure continued effective use.</w:t>
      </w:r>
    </w:p>
    <w:p w:rsidR="002436F4" w:rsidRPr="007E63AF" w:rsidRDefault="00E00AE9">
      <w:pPr>
        <w:numPr>
          <w:ilvl w:val="1"/>
          <w:numId w:val="8"/>
        </w:numPr>
        <w:rPr>
          <w:rFonts w:asciiTheme="minorHAnsi" w:hAnsiTheme="minorHAnsi" w:cstheme="minorHAnsi"/>
          <w:bCs/>
        </w:rPr>
      </w:pPr>
      <w:r w:rsidRPr="007E63AF">
        <w:rPr>
          <w:rFonts w:asciiTheme="minorHAnsi" w:hAnsiTheme="minorHAnsi" w:cstheme="minorHAnsi"/>
          <w:bCs/>
        </w:rPr>
        <w:t>Maintenance Agency</w:t>
      </w:r>
      <w:r w:rsidR="00B35E12" w:rsidRPr="007E63AF">
        <w:rPr>
          <w:rFonts w:asciiTheme="minorHAnsi" w:hAnsiTheme="minorHAnsi" w:cstheme="minorHAnsi"/>
          <w:bCs/>
        </w:rPr>
        <w:t xml:space="preserve"> (Normative elements in standards)</w:t>
      </w:r>
      <w:r w:rsidRPr="007E63AF">
        <w:rPr>
          <w:rFonts w:asciiTheme="minorHAnsi" w:hAnsiTheme="minorHAnsi" w:cstheme="minorHAnsi"/>
          <w:bCs/>
        </w:rPr>
        <w:t xml:space="preserve"> and/or </w:t>
      </w:r>
    </w:p>
    <w:p w:rsidR="002436F4" w:rsidRPr="007E63AF" w:rsidRDefault="00B35E12">
      <w:pPr>
        <w:numPr>
          <w:ilvl w:val="1"/>
          <w:numId w:val="8"/>
        </w:numPr>
        <w:rPr>
          <w:rFonts w:asciiTheme="minorHAnsi" w:hAnsiTheme="minorHAnsi" w:cstheme="minorHAnsi"/>
          <w:bCs/>
        </w:rPr>
      </w:pPr>
      <w:r w:rsidRPr="007E63AF">
        <w:rPr>
          <w:rFonts w:asciiTheme="minorHAnsi" w:hAnsiTheme="minorHAnsi" w:cstheme="minorHAnsi"/>
          <w:bCs/>
        </w:rPr>
        <w:t xml:space="preserve">a </w:t>
      </w:r>
      <w:r w:rsidR="00E00AE9" w:rsidRPr="007E63AF">
        <w:rPr>
          <w:rFonts w:asciiTheme="minorHAnsi" w:hAnsiTheme="minorHAnsi" w:cstheme="minorHAnsi"/>
          <w:bCs/>
        </w:rPr>
        <w:t xml:space="preserve">Registration Authority </w:t>
      </w:r>
      <w:r w:rsidR="001001D9" w:rsidRPr="007E63AF">
        <w:rPr>
          <w:rFonts w:asciiTheme="minorHAnsi" w:hAnsiTheme="minorHAnsi" w:cstheme="minorHAnsi"/>
          <w:bCs/>
        </w:rPr>
        <w:t xml:space="preserve">(implementation requires elements to be registered, but they are not part of the standard) Implementation of standard requires </w:t>
      </w:r>
    </w:p>
    <w:p w:rsidR="006166BB" w:rsidRDefault="006166BB">
      <w:pPr>
        <w:rPr>
          <w:rFonts w:asciiTheme="minorHAnsi" w:hAnsiTheme="minorHAnsi" w:cstheme="minorHAnsi"/>
          <w:b/>
          <w:bCs/>
        </w:rPr>
      </w:pPr>
    </w:p>
    <w:sectPr w:rsidR="006166BB" w:rsidSect="000667C7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864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36E" w:rsidRDefault="0060736E">
      <w:r>
        <w:separator/>
      </w:r>
    </w:p>
  </w:endnote>
  <w:endnote w:type="continuationSeparator" w:id="0">
    <w:p w:rsidR="0060736E" w:rsidRDefault="0060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12" w:rsidRPr="00A40C41" w:rsidRDefault="00B35E12" w:rsidP="00A40C4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Page </w:t>
    </w:r>
    <w:r w:rsidR="002436F4" w:rsidRPr="00A40C41">
      <w:rPr>
        <w:rStyle w:val="PageNumber"/>
        <w:rFonts w:ascii="Arial" w:hAnsi="Arial" w:cs="Arial"/>
        <w:sz w:val="16"/>
        <w:szCs w:val="16"/>
      </w:rPr>
      <w:fldChar w:fldCharType="begin"/>
    </w:r>
    <w:r w:rsidRPr="00A40C4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2436F4" w:rsidRPr="00A40C41">
      <w:rPr>
        <w:rStyle w:val="PageNumber"/>
        <w:rFonts w:ascii="Arial" w:hAnsi="Arial" w:cs="Arial"/>
        <w:sz w:val="16"/>
        <w:szCs w:val="16"/>
      </w:rPr>
      <w:fldChar w:fldCharType="separate"/>
    </w:r>
    <w:r w:rsidR="004723F6">
      <w:rPr>
        <w:rStyle w:val="PageNumber"/>
        <w:rFonts w:ascii="Arial" w:hAnsi="Arial" w:cs="Arial"/>
        <w:noProof/>
        <w:sz w:val="16"/>
        <w:szCs w:val="16"/>
      </w:rPr>
      <w:t>2</w:t>
    </w:r>
    <w:r w:rsidR="002436F4" w:rsidRPr="00A40C41">
      <w:rPr>
        <w:rStyle w:val="PageNumber"/>
        <w:rFonts w:ascii="Arial" w:hAnsi="Arial" w:cs="Arial"/>
        <w:sz w:val="16"/>
        <w:szCs w:val="16"/>
      </w:rPr>
      <w:fldChar w:fldCharType="end"/>
    </w:r>
    <w:r w:rsidRPr="00A40C41">
      <w:rPr>
        <w:rStyle w:val="PageNumber"/>
        <w:rFonts w:ascii="Arial" w:hAnsi="Arial" w:cs="Arial"/>
        <w:sz w:val="16"/>
        <w:szCs w:val="16"/>
      </w:rPr>
      <w:t xml:space="preserve"> of </w:t>
    </w:r>
    <w:r w:rsidR="002436F4" w:rsidRPr="00A40C41">
      <w:rPr>
        <w:rStyle w:val="PageNumber"/>
        <w:rFonts w:ascii="Arial" w:hAnsi="Arial" w:cs="Arial"/>
        <w:sz w:val="16"/>
        <w:szCs w:val="16"/>
      </w:rPr>
      <w:fldChar w:fldCharType="begin"/>
    </w:r>
    <w:r w:rsidRPr="00A40C4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2436F4" w:rsidRPr="00A40C41">
      <w:rPr>
        <w:rStyle w:val="PageNumber"/>
        <w:rFonts w:ascii="Arial" w:hAnsi="Arial" w:cs="Arial"/>
        <w:sz w:val="16"/>
        <w:szCs w:val="16"/>
      </w:rPr>
      <w:fldChar w:fldCharType="separate"/>
    </w:r>
    <w:r w:rsidR="004723F6">
      <w:rPr>
        <w:rStyle w:val="PageNumber"/>
        <w:rFonts w:ascii="Arial" w:hAnsi="Arial" w:cs="Arial"/>
        <w:noProof/>
        <w:sz w:val="16"/>
        <w:szCs w:val="16"/>
      </w:rPr>
      <w:t>3</w:t>
    </w:r>
    <w:r w:rsidR="002436F4" w:rsidRPr="00A40C4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12" w:rsidRPr="00A40C41" w:rsidRDefault="00B35E12" w:rsidP="00A40C4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tab/>
    </w:r>
    <w:r>
      <w:rPr>
        <w:rFonts w:ascii="Arial" w:hAnsi="Arial" w:cs="Arial"/>
        <w:sz w:val="16"/>
        <w:szCs w:val="16"/>
      </w:rPr>
      <w:t xml:space="preserve">Page </w:t>
    </w:r>
    <w:r w:rsidR="002436F4" w:rsidRPr="00A40C41">
      <w:rPr>
        <w:rStyle w:val="PageNumber"/>
        <w:rFonts w:ascii="Arial" w:hAnsi="Arial" w:cs="Arial"/>
        <w:sz w:val="16"/>
        <w:szCs w:val="16"/>
      </w:rPr>
      <w:fldChar w:fldCharType="begin"/>
    </w:r>
    <w:r w:rsidRPr="00A40C4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2436F4" w:rsidRPr="00A40C41">
      <w:rPr>
        <w:rStyle w:val="PageNumber"/>
        <w:rFonts w:ascii="Arial" w:hAnsi="Arial" w:cs="Arial"/>
        <w:sz w:val="16"/>
        <w:szCs w:val="16"/>
      </w:rPr>
      <w:fldChar w:fldCharType="separate"/>
    </w:r>
    <w:r w:rsidR="004723F6">
      <w:rPr>
        <w:rStyle w:val="PageNumber"/>
        <w:rFonts w:ascii="Arial" w:hAnsi="Arial" w:cs="Arial"/>
        <w:noProof/>
        <w:sz w:val="16"/>
        <w:szCs w:val="16"/>
      </w:rPr>
      <w:t>1</w:t>
    </w:r>
    <w:r w:rsidR="002436F4" w:rsidRPr="00A40C41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 w:rsidR="002436F4" w:rsidRPr="00A40C41">
      <w:rPr>
        <w:rStyle w:val="PageNumber"/>
        <w:rFonts w:ascii="Arial" w:hAnsi="Arial" w:cs="Arial"/>
        <w:sz w:val="16"/>
        <w:szCs w:val="16"/>
      </w:rPr>
      <w:fldChar w:fldCharType="begin"/>
    </w:r>
    <w:r w:rsidRPr="00A40C4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2436F4" w:rsidRPr="00A40C41">
      <w:rPr>
        <w:rStyle w:val="PageNumber"/>
        <w:rFonts w:ascii="Arial" w:hAnsi="Arial" w:cs="Arial"/>
        <w:sz w:val="16"/>
        <w:szCs w:val="16"/>
      </w:rPr>
      <w:fldChar w:fldCharType="separate"/>
    </w:r>
    <w:r w:rsidR="004723F6">
      <w:rPr>
        <w:rStyle w:val="PageNumber"/>
        <w:rFonts w:ascii="Arial" w:hAnsi="Arial" w:cs="Arial"/>
        <w:noProof/>
        <w:sz w:val="16"/>
        <w:szCs w:val="16"/>
      </w:rPr>
      <w:t>3</w:t>
    </w:r>
    <w:r w:rsidR="002436F4" w:rsidRPr="00A40C4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36E" w:rsidRDefault="0060736E">
      <w:r>
        <w:separator/>
      </w:r>
    </w:p>
  </w:footnote>
  <w:footnote w:type="continuationSeparator" w:id="0">
    <w:p w:rsidR="0060736E" w:rsidRDefault="0060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12" w:rsidRPr="00DD3BDA" w:rsidRDefault="002436F4" w:rsidP="00DD3BDA">
    <w:pPr>
      <w:pStyle w:val="Head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2436F4">
      <w:rPr>
        <w:noProof/>
      </w:rPr>
      <w:pict>
        <v:line id="_x0000_s2056" style="position:absolute;z-index:251659264;mso-wrap-distance-top:7.2pt;mso-position-horizontal:center;mso-position-horizontal-relative:page;mso-position-vertical-relative:page" from="0,10in" to="468pt,10in" strokeweight="1pt">
          <w10:wrap type="topAndBottom" anchorx="page" anchory="page"/>
          <w10:anchorlock/>
        </v:line>
      </w:pict>
    </w:r>
    <w:r w:rsidRPr="002436F4">
      <w:rPr>
        <w:noProof/>
      </w:rPr>
      <w:pict>
        <v:line id="_x0000_s2055" style="position:absolute;z-index:251658240;mso-wrap-distance-bottom:7.2pt;mso-position-horizontal:center;mso-position-horizontal-relative:page;mso-position-vertical-relative:page" from="0,1in" to="468pt,1in" strokeweight="1pt">
          <w10:wrap type="topAndBottom" anchorx="page" anchory="page"/>
          <w10:anchorlock/>
        </v:line>
      </w:pict>
    </w:r>
    <w:r w:rsidR="00B35E12">
      <w:tab/>
    </w:r>
    <w:r w:rsidR="00B35E12">
      <w:tab/>
    </w:r>
  </w:p>
  <w:p w:rsidR="00B35E12" w:rsidRDefault="00B35E1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12" w:rsidRPr="002370F7" w:rsidRDefault="002436F4" w:rsidP="002370F7">
    <w:pPr>
      <w:pStyle w:val="Header"/>
      <w:tabs>
        <w:tab w:val="clear" w:pos="4320"/>
        <w:tab w:val="center" w:pos="4680"/>
      </w:tabs>
      <w:rPr>
        <w:rFonts w:ascii="Arial" w:hAnsi="Arial" w:cs="Arial"/>
        <w:b/>
      </w:rPr>
    </w:pPr>
    <w:r w:rsidRPr="002436F4">
      <w:rPr>
        <w:noProof/>
      </w:rPr>
      <w:pict>
        <v:line id="_x0000_s2052" style="position:absolute;flip:y;z-index:251657216;mso-wrap-distance-top:7.2pt;mso-position-horizontal:center;mso-position-horizontal-relative:page;mso-position-vertical-relative:page" from="0,10in" to="468pt,10in" strokeweight="1pt">
          <w10:wrap type="topAndBottom" anchorx="page" anchory="page"/>
          <w10:anchorlock/>
        </v:line>
      </w:pict>
    </w:r>
    <w:r w:rsidRPr="002436F4">
      <w:rPr>
        <w:noProof/>
      </w:rPr>
      <w:pict>
        <v:line id="_x0000_s2051" style="position:absolute;flip:y;z-index:251656192;mso-wrap-distance-bottom:7.2pt;mso-position-horizontal:center;mso-position-horizontal-relative:page;mso-position-vertical-relative:page" from="0,1in" to="468pt,1in" strokeweight="1pt">
          <w10:wrap type="topAndBottom" anchorx="page" anchory="page"/>
          <w10:anchorlock/>
        </v:line>
      </w:pict>
    </w:r>
    <w:r w:rsidR="00B35E1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246"/>
    <w:multiLevelType w:val="multilevel"/>
    <w:tmpl w:val="BE92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D17B9"/>
    <w:multiLevelType w:val="hybridMultilevel"/>
    <w:tmpl w:val="44EC9DF2"/>
    <w:lvl w:ilvl="0" w:tplc="BFEE8C7A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</w:rPr>
    </w:lvl>
    <w:lvl w:ilvl="1" w:tplc="8ABCF8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80248">
      <w:start w:val="1"/>
      <w:numFmt w:val="decimal"/>
      <w:lvlText w:val="17.%4"/>
      <w:lvlJc w:val="left"/>
      <w:pPr>
        <w:tabs>
          <w:tab w:val="num" w:pos="1008"/>
        </w:tabs>
        <w:ind w:left="1152" w:hanging="612"/>
      </w:pPr>
      <w:rPr>
        <w:rFonts w:hint="default"/>
      </w:rPr>
    </w:lvl>
    <w:lvl w:ilvl="4" w:tplc="A5AC5C48">
      <w:start w:val="1"/>
      <w:numFmt w:val="decimal"/>
      <w:lvlText w:val="%5."/>
      <w:lvlJc w:val="left"/>
      <w:pPr>
        <w:ind w:left="3780" w:hanging="5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45A19"/>
    <w:multiLevelType w:val="multilevel"/>
    <w:tmpl w:val="555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07BF1"/>
    <w:multiLevelType w:val="hybridMultilevel"/>
    <w:tmpl w:val="3D428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BA00C46">
      <w:start w:val="2"/>
      <w:numFmt w:val="bullet"/>
      <w:lvlText w:val="·"/>
      <w:lvlJc w:val="left"/>
      <w:pPr>
        <w:ind w:left="1620" w:hanging="54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33241"/>
    <w:multiLevelType w:val="hybridMultilevel"/>
    <w:tmpl w:val="2A80D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C56AB"/>
    <w:multiLevelType w:val="multilevel"/>
    <w:tmpl w:val="FA703EE6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B285755"/>
    <w:multiLevelType w:val="multilevel"/>
    <w:tmpl w:val="42F4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21DBA"/>
    <w:multiLevelType w:val="hybridMultilevel"/>
    <w:tmpl w:val="37504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73D66"/>
    <w:multiLevelType w:val="hybridMultilevel"/>
    <w:tmpl w:val="81700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517EF"/>
    <w:multiLevelType w:val="hybridMultilevel"/>
    <w:tmpl w:val="7054A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66A23"/>
    <w:multiLevelType w:val="hybridMultilevel"/>
    <w:tmpl w:val="0B287838"/>
    <w:lvl w:ilvl="0" w:tplc="9392BAB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EA3B4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873C4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478F4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42AA8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E2CE8E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CA73CE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B6998C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A469F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A8101A6"/>
    <w:multiLevelType w:val="hybridMultilevel"/>
    <w:tmpl w:val="C1A45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34782"/>
    <w:multiLevelType w:val="multilevel"/>
    <w:tmpl w:val="2AFC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137A84"/>
    <w:multiLevelType w:val="hybridMultilevel"/>
    <w:tmpl w:val="9FE4658E"/>
    <w:lvl w:ilvl="0" w:tplc="822C3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6F146">
      <w:numFmt w:val="none"/>
      <w:lvlText w:val=""/>
      <w:lvlJc w:val="left"/>
      <w:pPr>
        <w:tabs>
          <w:tab w:val="num" w:pos="360"/>
        </w:tabs>
      </w:pPr>
    </w:lvl>
    <w:lvl w:ilvl="2" w:tplc="C0D2B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FCE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F475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B0B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AAA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8C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02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31357"/>
    <w:multiLevelType w:val="multilevel"/>
    <w:tmpl w:val="CF1CE31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666" w:hanging="576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56B7E88"/>
    <w:multiLevelType w:val="hybridMultilevel"/>
    <w:tmpl w:val="DC08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672E9"/>
    <w:multiLevelType w:val="hybridMultilevel"/>
    <w:tmpl w:val="C36A349E"/>
    <w:lvl w:ilvl="0" w:tplc="BFEE8C7A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</w:rPr>
    </w:lvl>
    <w:lvl w:ilvl="1" w:tplc="8ABCF8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80248">
      <w:start w:val="1"/>
      <w:numFmt w:val="decimal"/>
      <w:lvlText w:val="17.%4"/>
      <w:lvlJc w:val="left"/>
      <w:pPr>
        <w:tabs>
          <w:tab w:val="num" w:pos="1008"/>
        </w:tabs>
        <w:ind w:left="1152" w:hanging="612"/>
      </w:pPr>
      <w:rPr>
        <w:rFonts w:hint="default"/>
      </w:rPr>
    </w:lvl>
    <w:lvl w:ilvl="4" w:tplc="A5AC5C48">
      <w:start w:val="1"/>
      <w:numFmt w:val="decimal"/>
      <w:lvlText w:val="%5."/>
      <w:lvlJc w:val="left"/>
      <w:pPr>
        <w:ind w:left="3780" w:hanging="5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DC7DC8"/>
    <w:multiLevelType w:val="hybridMultilevel"/>
    <w:tmpl w:val="56F2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606081"/>
    <w:multiLevelType w:val="multilevel"/>
    <w:tmpl w:val="DF1A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11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3"/>
  </w:num>
  <w:num w:numId="15">
    <w:abstractNumId w:val="15"/>
  </w:num>
  <w:num w:numId="16">
    <w:abstractNumId w:val="9"/>
  </w:num>
  <w:num w:numId="17">
    <w:abstractNumId w:val="10"/>
  </w:num>
  <w:num w:numId="18">
    <w:abstractNumId w:val="13"/>
  </w:num>
  <w:num w:numId="19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28C7"/>
    <w:rsid w:val="0000015B"/>
    <w:rsid w:val="00000521"/>
    <w:rsid w:val="00004985"/>
    <w:rsid w:val="00007DEB"/>
    <w:rsid w:val="0001301F"/>
    <w:rsid w:val="0002503F"/>
    <w:rsid w:val="0002645C"/>
    <w:rsid w:val="000268C8"/>
    <w:rsid w:val="0003212B"/>
    <w:rsid w:val="0003362C"/>
    <w:rsid w:val="000359A5"/>
    <w:rsid w:val="0003751E"/>
    <w:rsid w:val="00044310"/>
    <w:rsid w:val="00044911"/>
    <w:rsid w:val="00050BDB"/>
    <w:rsid w:val="000579DB"/>
    <w:rsid w:val="000667C7"/>
    <w:rsid w:val="00070BBE"/>
    <w:rsid w:val="0008386C"/>
    <w:rsid w:val="00084B2A"/>
    <w:rsid w:val="0008541C"/>
    <w:rsid w:val="000860CD"/>
    <w:rsid w:val="000936BE"/>
    <w:rsid w:val="0009506B"/>
    <w:rsid w:val="00097348"/>
    <w:rsid w:val="00097D72"/>
    <w:rsid w:val="000A2BF9"/>
    <w:rsid w:val="000B1B30"/>
    <w:rsid w:val="000B67B9"/>
    <w:rsid w:val="000B799C"/>
    <w:rsid w:val="000B79FF"/>
    <w:rsid w:val="000C2F59"/>
    <w:rsid w:val="000C6E7D"/>
    <w:rsid w:val="000E2361"/>
    <w:rsid w:val="000E58A0"/>
    <w:rsid w:val="000F3011"/>
    <w:rsid w:val="000F30DA"/>
    <w:rsid w:val="000F35BD"/>
    <w:rsid w:val="000F7143"/>
    <w:rsid w:val="001001D9"/>
    <w:rsid w:val="00102854"/>
    <w:rsid w:val="00103077"/>
    <w:rsid w:val="00106373"/>
    <w:rsid w:val="00115706"/>
    <w:rsid w:val="0013023F"/>
    <w:rsid w:val="001335E6"/>
    <w:rsid w:val="00134F79"/>
    <w:rsid w:val="001505CA"/>
    <w:rsid w:val="00154B69"/>
    <w:rsid w:val="00155656"/>
    <w:rsid w:val="00157522"/>
    <w:rsid w:val="001635D6"/>
    <w:rsid w:val="00164C4E"/>
    <w:rsid w:val="00176B1C"/>
    <w:rsid w:val="00180647"/>
    <w:rsid w:val="00185A1F"/>
    <w:rsid w:val="0019688E"/>
    <w:rsid w:val="00197F1E"/>
    <w:rsid w:val="001A3CAA"/>
    <w:rsid w:val="001B1A3C"/>
    <w:rsid w:val="001B5799"/>
    <w:rsid w:val="001B7E71"/>
    <w:rsid w:val="001C103C"/>
    <w:rsid w:val="001C7251"/>
    <w:rsid w:val="001D4B29"/>
    <w:rsid w:val="001D62FA"/>
    <w:rsid w:val="001F0AF3"/>
    <w:rsid w:val="001F1E20"/>
    <w:rsid w:val="00202BAD"/>
    <w:rsid w:val="00215537"/>
    <w:rsid w:val="0022280B"/>
    <w:rsid w:val="00236CF4"/>
    <w:rsid w:val="002370F7"/>
    <w:rsid w:val="002436F4"/>
    <w:rsid w:val="002533B4"/>
    <w:rsid w:val="00254289"/>
    <w:rsid w:val="00254C62"/>
    <w:rsid w:val="00262441"/>
    <w:rsid w:val="00265714"/>
    <w:rsid w:val="00266B2A"/>
    <w:rsid w:val="0027175F"/>
    <w:rsid w:val="00290BCD"/>
    <w:rsid w:val="00291517"/>
    <w:rsid w:val="00292F8F"/>
    <w:rsid w:val="00293815"/>
    <w:rsid w:val="00295AC6"/>
    <w:rsid w:val="002A4AEB"/>
    <w:rsid w:val="002B1388"/>
    <w:rsid w:val="002B2F54"/>
    <w:rsid w:val="002B3B54"/>
    <w:rsid w:val="002C2401"/>
    <w:rsid w:val="002C4A23"/>
    <w:rsid w:val="002D11BF"/>
    <w:rsid w:val="002D45AF"/>
    <w:rsid w:val="002D5DAA"/>
    <w:rsid w:val="002E2A40"/>
    <w:rsid w:val="002E3D45"/>
    <w:rsid w:val="002E4BBD"/>
    <w:rsid w:val="002E77D6"/>
    <w:rsid w:val="002F5562"/>
    <w:rsid w:val="003010E6"/>
    <w:rsid w:val="00302B55"/>
    <w:rsid w:val="00311C5F"/>
    <w:rsid w:val="00312D3C"/>
    <w:rsid w:val="00313AF6"/>
    <w:rsid w:val="00313D22"/>
    <w:rsid w:val="0031553C"/>
    <w:rsid w:val="00315AEE"/>
    <w:rsid w:val="0031627C"/>
    <w:rsid w:val="00317981"/>
    <w:rsid w:val="00323BF7"/>
    <w:rsid w:val="00325BFB"/>
    <w:rsid w:val="00336C56"/>
    <w:rsid w:val="00340605"/>
    <w:rsid w:val="003578C8"/>
    <w:rsid w:val="00357F50"/>
    <w:rsid w:val="00366DC6"/>
    <w:rsid w:val="0037311F"/>
    <w:rsid w:val="0039176B"/>
    <w:rsid w:val="003922D7"/>
    <w:rsid w:val="00393B4D"/>
    <w:rsid w:val="0039648F"/>
    <w:rsid w:val="003A11E3"/>
    <w:rsid w:val="003A4470"/>
    <w:rsid w:val="003A6CBC"/>
    <w:rsid w:val="003C2808"/>
    <w:rsid w:val="003C71EF"/>
    <w:rsid w:val="003D2E6B"/>
    <w:rsid w:val="003D5C5A"/>
    <w:rsid w:val="003E3093"/>
    <w:rsid w:val="003F4560"/>
    <w:rsid w:val="003F4E07"/>
    <w:rsid w:val="003F6B78"/>
    <w:rsid w:val="00401F37"/>
    <w:rsid w:val="00411C09"/>
    <w:rsid w:val="0042526B"/>
    <w:rsid w:val="004254D6"/>
    <w:rsid w:val="00432B06"/>
    <w:rsid w:val="0043408E"/>
    <w:rsid w:val="0043536F"/>
    <w:rsid w:val="00435487"/>
    <w:rsid w:val="0043765D"/>
    <w:rsid w:val="00450315"/>
    <w:rsid w:val="00454797"/>
    <w:rsid w:val="00456E0A"/>
    <w:rsid w:val="00460FEA"/>
    <w:rsid w:val="004618D3"/>
    <w:rsid w:val="00462F72"/>
    <w:rsid w:val="00470ED2"/>
    <w:rsid w:val="00471F56"/>
    <w:rsid w:val="00472296"/>
    <w:rsid w:val="004723F6"/>
    <w:rsid w:val="00473E59"/>
    <w:rsid w:val="004779CC"/>
    <w:rsid w:val="004837D7"/>
    <w:rsid w:val="00490003"/>
    <w:rsid w:val="00493A28"/>
    <w:rsid w:val="00497DD0"/>
    <w:rsid w:val="004A0F84"/>
    <w:rsid w:val="004A390F"/>
    <w:rsid w:val="004A4709"/>
    <w:rsid w:val="004B25B0"/>
    <w:rsid w:val="004B47E3"/>
    <w:rsid w:val="004B6D23"/>
    <w:rsid w:val="004C1D8F"/>
    <w:rsid w:val="004D0563"/>
    <w:rsid w:val="004D0BDF"/>
    <w:rsid w:val="004D50AC"/>
    <w:rsid w:val="004D76E9"/>
    <w:rsid w:val="004E0B95"/>
    <w:rsid w:val="004E4BA2"/>
    <w:rsid w:val="004E6002"/>
    <w:rsid w:val="004E7265"/>
    <w:rsid w:val="004E7C6B"/>
    <w:rsid w:val="004F024A"/>
    <w:rsid w:val="005048E8"/>
    <w:rsid w:val="00507F3F"/>
    <w:rsid w:val="005174F9"/>
    <w:rsid w:val="00524024"/>
    <w:rsid w:val="005249DD"/>
    <w:rsid w:val="00532F54"/>
    <w:rsid w:val="005446C3"/>
    <w:rsid w:val="00547B99"/>
    <w:rsid w:val="00554DB7"/>
    <w:rsid w:val="00555AE4"/>
    <w:rsid w:val="00565491"/>
    <w:rsid w:val="00573520"/>
    <w:rsid w:val="00576D8F"/>
    <w:rsid w:val="00580C91"/>
    <w:rsid w:val="00586516"/>
    <w:rsid w:val="00591ABA"/>
    <w:rsid w:val="00595A4D"/>
    <w:rsid w:val="00597A87"/>
    <w:rsid w:val="005A0D06"/>
    <w:rsid w:val="005A229D"/>
    <w:rsid w:val="005A3F79"/>
    <w:rsid w:val="005B62FC"/>
    <w:rsid w:val="005D1C36"/>
    <w:rsid w:val="005D443E"/>
    <w:rsid w:val="005D677C"/>
    <w:rsid w:val="005E123B"/>
    <w:rsid w:val="005F14CB"/>
    <w:rsid w:val="005F2BAB"/>
    <w:rsid w:val="005F4D23"/>
    <w:rsid w:val="00603F8B"/>
    <w:rsid w:val="00605D13"/>
    <w:rsid w:val="0060601D"/>
    <w:rsid w:val="0060736E"/>
    <w:rsid w:val="00615395"/>
    <w:rsid w:val="006158C0"/>
    <w:rsid w:val="006166BB"/>
    <w:rsid w:val="0062458C"/>
    <w:rsid w:val="00627A97"/>
    <w:rsid w:val="006327DD"/>
    <w:rsid w:val="006367EC"/>
    <w:rsid w:val="006403CB"/>
    <w:rsid w:val="00640653"/>
    <w:rsid w:val="00650818"/>
    <w:rsid w:val="0065105B"/>
    <w:rsid w:val="00661CE2"/>
    <w:rsid w:val="00666304"/>
    <w:rsid w:val="00677FAA"/>
    <w:rsid w:val="006850AB"/>
    <w:rsid w:val="00692F98"/>
    <w:rsid w:val="0069538B"/>
    <w:rsid w:val="006A500E"/>
    <w:rsid w:val="006B103D"/>
    <w:rsid w:val="006B35E8"/>
    <w:rsid w:val="006B6E25"/>
    <w:rsid w:val="006C12AD"/>
    <w:rsid w:val="006D2470"/>
    <w:rsid w:val="006D7929"/>
    <w:rsid w:val="006E01A8"/>
    <w:rsid w:val="006F44A0"/>
    <w:rsid w:val="00700633"/>
    <w:rsid w:val="00702CD9"/>
    <w:rsid w:val="00713A17"/>
    <w:rsid w:val="00714F2B"/>
    <w:rsid w:val="00725CCC"/>
    <w:rsid w:val="007271C0"/>
    <w:rsid w:val="007315AD"/>
    <w:rsid w:val="007328C7"/>
    <w:rsid w:val="00734C8F"/>
    <w:rsid w:val="00745168"/>
    <w:rsid w:val="00745D6E"/>
    <w:rsid w:val="007541C5"/>
    <w:rsid w:val="00754AB2"/>
    <w:rsid w:val="00756268"/>
    <w:rsid w:val="00763817"/>
    <w:rsid w:val="007664C5"/>
    <w:rsid w:val="00767669"/>
    <w:rsid w:val="00771813"/>
    <w:rsid w:val="00773785"/>
    <w:rsid w:val="00773975"/>
    <w:rsid w:val="0077656D"/>
    <w:rsid w:val="00787FE0"/>
    <w:rsid w:val="00792095"/>
    <w:rsid w:val="00795D9F"/>
    <w:rsid w:val="007A3EF9"/>
    <w:rsid w:val="007A41B9"/>
    <w:rsid w:val="007B1AD2"/>
    <w:rsid w:val="007C1C9C"/>
    <w:rsid w:val="007C75DC"/>
    <w:rsid w:val="007D1876"/>
    <w:rsid w:val="007D2BD4"/>
    <w:rsid w:val="007D6967"/>
    <w:rsid w:val="007D7853"/>
    <w:rsid w:val="007E3DCA"/>
    <w:rsid w:val="007E5F74"/>
    <w:rsid w:val="007E6002"/>
    <w:rsid w:val="007E63AF"/>
    <w:rsid w:val="007E63F8"/>
    <w:rsid w:val="007F0DEF"/>
    <w:rsid w:val="007F63EE"/>
    <w:rsid w:val="00800EE2"/>
    <w:rsid w:val="008056F8"/>
    <w:rsid w:val="00815CCF"/>
    <w:rsid w:val="008269D9"/>
    <w:rsid w:val="008275C1"/>
    <w:rsid w:val="00843D7D"/>
    <w:rsid w:val="00845DF4"/>
    <w:rsid w:val="00846FBA"/>
    <w:rsid w:val="008509FD"/>
    <w:rsid w:val="00850F8D"/>
    <w:rsid w:val="00860ADF"/>
    <w:rsid w:val="0087667C"/>
    <w:rsid w:val="00885A52"/>
    <w:rsid w:val="00886408"/>
    <w:rsid w:val="008A2F48"/>
    <w:rsid w:val="008B1F66"/>
    <w:rsid w:val="008B3864"/>
    <w:rsid w:val="008C1CAB"/>
    <w:rsid w:val="008C3B27"/>
    <w:rsid w:val="008C68E9"/>
    <w:rsid w:val="008C7BD9"/>
    <w:rsid w:val="008D4E2D"/>
    <w:rsid w:val="008E07A6"/>
    <w:rsid w:val="008E127E"/>
    <w:rsid w:val="008E1A50"/>
    <w:rsid w:val="008E43A4"/>
    <w:rsid w:val="008E539A"/>
    <w:rsid w:val="008F0B50"/>
    <w:rsid w:val="008F7D4A"/>
    <w:rsid w:val="00905B9C"/>
    <w:rsid w:val="009077CA"/>
    <w:rsid w:val="0092374F"/>
    <w:rsid w:val="0093482B"/>
    <w:rsid w:val="00937912"/>
    <w:rsid w:val="009530E2"/>
    <w:rsid w:val="0095595F"/>
    <w:rsid w:val="00956D44"/>
    <w:rsid w:val="009570BF"/>
    <w:rsid w:val="0096059A"/>
    <w:rsid w:val="00961A9C"/>
    <w:rsid w:val="0096491A"/>
    <w:rsid w:val="00971FA3"/>
    <w:rsid w:val="00980CFE"/>
    <w:rsid w:val="00981C6A"/>
    <w:rsid w:val="009834A4"/>
    <w:rsid w:val="009841AD"/>
    <w:rsid w:val="0098498C"/>
    <w:rsid w:val="009869B9"/>
    <w:rsid w:val="00987DF0"/>
    <w:rsid w:val="00995011"/>
    <w:rsid w:val="009A4303"/>
    <w:rsid w:val="009A55D1"/>
    <w:rsid w:val="009A7537"/>
    <w:rsid w:val="009A7ED0"/>
    <w:rsid w:val="009B2AC9"/>
    <w:rsid w:val="009B3E5B"/>
    <w:rsid w:val="009B72B5"/>
    <w:rsid w:val="009C74EC"/>
    <w:rsid w:val="009D1749"/>
    <w:rsid w:val="009D27F9"/>
    <w:rsid w:val="009D3C15"/>
    <w:rsid w:val="009E3D8D"/>
    <w:rsid w:val="009E66E4"/>
    <w:rsid w:val="009E6B74"/>
    <w:rsid w:val="009E6D1F"/>
    <w:rsid w:val="009F01F8"/>
    <w:rsid w:val="009F1110"/>
    <w:rsid w:val="009F53DB"/>
    <w:rsid w:val="00A02630"/>
    <w:rsid w:val="00A07B56"/>
    <w:rsid w:val="00A1348C"/>
    <w:rsid w:val="00A32D62"/>
    <w:rsid w:val="00A34B88"/>
    <w:rsid w:val="00A40C41"/>
    <w:rsid w:val="00A45765"/>
    <w:rsid w:val="00A539EF"/>
    <w:rsid w:val="00A7129D"/>
    <w:rsid w:val="00A76110"/>
    <w:rsid w:val="00A7702C"/>
    <w:rsid w:val="00A852BD"/>
    <w:rsid w:val="00A92870"/>
    <w:rsid w:val="00A94EF4"/>
    <w:rsid w:val="00A94FC8"/>
    <w:rsid w:val="00AA713D"/>
    <w:rsid w:val="00AB2BB8"/>
    <w:rsid w:val="00AB45D7"/>
    <w:rsid w:val="00AC60F1"/>
    <w:rsid w:val="00AC71A5"/>
    <w:rsid w:val="00AD2B8D"/>
    <w:rsid w:val="00AD62F0"/>
    <w:rsid w:val="00AD6FE6"/>
    <w:rsid w:val="00AE1AC8"/>
    <w:rsid w:val="00AE46EF"/>
    <w:rsid w:val="00AF131D"/>
    <w:rsid w:val="00AF1C8B"/>
    <w:rsid w:val="00B03652"/>
    <w:rsid w:val="00B05A6E"/>
    <w:rsid w:val="00B05CF7"/>
    <w:rsid w:val="00B07685"/>
    <w:rsid w:val="00B128DC"/>
    <w:rsid w:val="00B13CD8"/>
    <w:rsid w:val="00B24C34"/>
    <w:rsid w:val="00B35E12"/>
    <w:rsid w:val="00B369A6"/>
    <w:rsid w:val="00B4283B"/>
    <w:rsid w:val="00B472B7"/>
    <w:rsid w:val="00B5560E"/>
    <w:rsid w:val="00B57839"/>
    <w:rsid w:val="00B61E62"/>
    <w:rsid w:val="00B656DE"/>
    <w:rsid w:val="00B7181B"/>
    <w:rsid w:val="00B74C20"/>
    <w:rsid w:val="00B74EC4"/>
    <w:rsid w:val="00B838D9"/>
    <w:rsid w:val="00B85229"/>
    <w:rsid w:val="00B86136"/>
    <w:rsid w:val="00B90533"/>
    <w:rsid w:val="00B91F8F"/>
    <w:rsid w:val="00BA183E"/>
    <w:rsid w:val="00BA3BEB"/>
    <w:rsid w:val="00BA3D51"/>
    <w:rsid w:val="00BB3121"/>
    <w:rsid w:val="00BB3D38"/>
    <w:rsid w:val="00BB5984"/>
    <w:rsid w:val="00BC0DBC"/>
    <w:rsid w:val="00BC17B6"/>
    <w:rsid w:val="00BD298A"/>
    <w:rsid w:val="00BD451A"/>
    <w:rsid w:val="00BE5E7C"/>
    <w:rsid w:val="00BE7132"/>
    <w:rsid w:val="00C03971"/>
    <w:rsid w:val="00C04866"/>
    <w:rsid w:val="00C06F82"/>
    <w:rsid w:val="00C142A5"/>
    <w:rsid w:val="00C24A9F"/>
    <w:rsid w:val="00C266B9"/>
    <w:rsid w:val="00C270A4"/>
    <w:rsid w:val="00C27CEF"/>
    <w:rsid w:val="00C3012C"/>
    <w:rsid w:val="00C57BED"/>
    <w:rsid w:val="00C6249D"/>
    <w:rsid w:val="00C63916"/>
    <w:rsid w:val="00C645DD"/>
    <w:rsid w:val="00C64C34"/>
    <w:rsid w:val="00C66501"/>
    <w:rsid w:val="00C7755A"/>
    <w:rsid w:val="00C80395"/>
    <w:rsid w:val="00C819ED"/>
    <w:rsid w:val="00C82108"/>
    <w:rsid w:val="00C906E2"/>
    <w:rsid w:val="00C94542"/>
    <w:rsid w:val="00C95417"/>
    <w:rsid w:val="00C9793B"/>
    <w:rsid w:val="00CA1480"/>
    <w:rsid w:val="00CA455A"/>
    <w:rsid w:val="00CB158C"/>
    <w:rsid w:val="00CC4A30"/>
    <w:rsid w:val="00CC52C4"/>
    <w:rsid w:val="00CC7097"/>
    <w:rsid w:val="00CD19FE"/>
    <w:rsid w:val="00CD1DE3"/>
    <w:rsid w:val="00CF3478"/>
    <w:rsid w:val="00D01B39"/>
    <w:rsid w:val="00D01D6A"/>
    <w:rsid w:val="00D01D7E"/>
    <w:rsid w:val="00D14DF7"/>
    <w:rsid w:val="00D1583A"/>
    <w:rsid w:val="00D45686"/>
    <w:rsid w:val="00D46B96"/>
    <w:rsid w:val="00D52651"/>
    <w:rsid w:val="00D53C27"/>
    <w:rsid w:val="00D5648C"/>
    <w:rsid w:val="00D64E71"/>
    <w:rsid w:val="00D71AEA"/>
    <w:rsid w:val="00D734BB"/>
    <w:rsid w:val="00D76667"/>
    <w:rsid w:val="00D824B3"/>
    <w:rsid w:val="00D84B6F"/>
    <w:rsid w:val="00D93918"/>
    <w:rsid w:val="00DA105A"/>
    <w:rsid w:val="00DA1D71"/>
    <w:rsid w:val="00DC1BF0"/>
    <w:rsid w:val="00DC5EEF"/>
    <w:rsid w:val="00DD1A4E"/>
    <w:rsid w:val="00DD2097"/>
    <w:rsid w:val="00DD2595"/>
    <w:rsid w:val="00DD3BDA"/>
    <w:rsid w:val="00DD4E98"/>
    <w:rsid w:val="00DE3F2B"/>
    <w:rsid w:val="00DE628F"/>
    <w:rsid w:val="00E00AE9"/>
    <w:rsid w:val="00E0137B"/>
    <w:rsid w:val="00E0496B"/>
    <w:rsid w:val="00E056E0"/>
    <w:rsid w:val="00E06864"/>
    <w:rsid w:val="00E173FE"/>
    <w:rsid w:val="00E2573C"/>
    <w:rsid w:val="00E25F32"/>
    <w:rsid w:val="00E32939"/>
    <w:rsid w:val="00E34521"/>
    <w:rsid w:val="00E54BAF"/>
    <w:rsid w:val="00E55A33"/>
    <w:rsid w:val="00E56063"/>
    <w:rsid w:val="00E61CDD"/>
    <w:rsid w:val="00E63CF9"/>
    <w:rsid w:val="00E65491"/>
    <w:rsid w:val="00E65E6A"/>
    <w:rsid w:val="00E712A8"/>
    <w:rsid w:val="00E7153E"/>
    <w:rsid w:val="00E71BA6"/>
    <w:rsid w:val="00E76FF0"/>
    <w:rsid w:val="00EA4A9A"/>
    <w:rsid w:val="00EA5CB1"/>
    <w:rsid w:val="00EB003E"/>
    <w:rsid w:val="00EB158A"/>
    <w:rsid w:val="00EB2565"/>
    <w:rsid w:val="00EB5180"/>
    <w:rsid w:val="00EC4A70"/>
    <w:rsid w:val="00ED53C7"/>
    <w:rsid w:val="00ED5732"/>
    <w:rsid w:val="00EE0A3A"/>
    <w:rsid w:val="00EE209C"/>
    <w:rsid w:val="00EE2446"/>
    <w:rsid w:val="00EE5B48"/>
    <w:rsid w:val="00EE7139"/>
    <w:rsid w:val="00EF0B03"/>
    <w:rsid w:val="00EF11FD"/>
    <w:rsid w:val="00EF4214"/>
    <w:rsid w:val="00F00673"/>
    <w:rsid w:val="00F00B37"/>
    <w:rsid w:val="00F01EF7"/>
    <w:rsid w:val="00F056F3"/>
    <w:rsid w:val="00F15483"/>
    <w:rsid w:val="00F201DD"/>
    <w:rsid w:val="00F25733"/>
    <w:rsid w:val="00F30969"/>
    <w:rsid w:val="00F314BE"/>
    <w:rsid w:val="00F319BD"/>
    <w:rsid w:val="00F3767A"/>
    <w:rsid w:val="00F43E60"/>
    <w:rsid w:val="00F44472"/>
    <w:rsid w:val="00F44625"/>
    <w:rsid w:val="00F539EA"/>
    <w:rsid w:val="00F61930"/>
    <w:rsid w:val="00F6265D"/>
    <w:rsid w:val="00F65D50"/>
    <w:rsid w:val="00F75E78"/>
    <w:rsid w:val="00F76B16"/>
    <w:rsid w:val="00F83C7A"/>
    <w:rsid w:val="00F852A4"/>
    <w:rsid w:val="00F92E1C"/>
    <w:rsid w:val="00F93B27"/>
    <w:rsid w:val="00F95C83"/>
    <w:rsid w:val="00F96449"/>
    <w:rsid w:val="00FA1D24"/>
    <w:rsid w:val="00FA3E3F"/>
    <w:rsid w:val="00FA41C2"/>
    <w:rsid w:val="00FA7166"/>
    <w:rsid w:val="00FB227B"/>
    <w:rsid w:val="00FC40DB"/>
    <w:rsid w:val="00FC7EC9"/>
    <w:rsid w:val="00FD7BC3"/>
    <w:rsid w:val="00FE41FE"/>
    <w:rsid w:val="00FE604A"/>
    <w:rsid w:val="00FE74E1"/>
    <w:rsid w:val="00FF0761"/>
    <w:rsid w:val="00FF3C65"/>
    <w:rsid w:val="00FF402D"/>
    <w:rsid w:val="00FF43A3"/>
    <w:rsid w:val="00FF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4DB7"/>
    <w:rPr>
      <w:sz w:val="24"/>
      <w:szCs w:val="24"/>
    </w:rPr>
  </w:style>
  <w:style w:type="paragraph" w:styleId="Heading1">
    <w:name w:val="heading 1"/>
    <w:basedOn w:val="Normal"/>
    <w:next w:val="Normal"/>
    <w:qFormat/>
    <w:rsid w:val="00AE46EF"/>
    <w:pPr>
      <w:keepNext/>
      <w:numPr>
        <w:numId w:val="1"/>
      </w:numPr>
      <w:tabs>
        <w:tab w:val="left" w:pos="630"/>
      </w:tabs>
      <w:spacing w:before="360" w:after="120"/>
      <w:outlineLvl w:val="0"/>
    </w:pPr>
    <w:rPr>
      <w:b/>
      <w:szCs w:val="20"/>
    </w:rPr>
  </w:style>
  <w:style w:type="paragraph" w:styleId="Heading2">
    <w:name w:val="heading 2"/>
    <w:aliases w:val="H2"/>
    <w:basedOn w:val="Normal"/>
    <w:next w:val="Normal"/>
    <w:qFormat/>
    <w:rsid w:val="00AE46EF"/>
    <w:pPr>
      <w:keepNext/>
      <w:numPr>
        <w:ilvl w:val="1"/>
        <w:numId w:val="1"/>
      </w:numPr>
      <w:tabs>
        <w:tab w:val="left" w:pos="990"/>
      </w:tabs>
      <w:spacing w:before="240" w:after="12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rsid w:val="00AE46EF"/>
    <w:pPr>
      <w:keepNext/>
      <w:numPr>
        <w:ilvl w:val="2"/>
        <w:numId w:val="1"/>
      </w:numPr>
      <w:spacing w:after="120"/>
      <w:outlineLvl w:val="2"/>
    </w:pPr>
    <w:rPr>
      <w:b/>
      <w:szCs w:val="20"/>
    </w:rPr>
  </w:style>
  <w:style w:type="paragraph" w:styleId="Heading4">
    <w:name w:val="heading 4"/>
    <w:aliases w:val="H4"/>
    <w:basedOn w:val="Normal"/>
    <w:next w:val="Normal"/>
    <w:qFormat/>
    <w:rsid w:val="00AE46E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E46E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E46E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46E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46E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4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0C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0C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0C41"/>
  </w:style>
  <w:style w:type="paragraph" w:customStyle="1" w:styleId="TOCBase">
    <w:name w:val="TOC Base"/>
    <w:basedOn w:val="Normal"/>
    <w:rsid w:val="00E06864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</w:rPr>
  </w:style>
  <w:style w:type="character" w:styleId="Hyperlink">
    <w:name w:val="Hyperlink"/>
    <w:rsid w:val="00547B99"/>
    <w:rPr>
      <w:color w:val="0000FF"/>
      <w:u w:val="single"/>
    </w:rPr>
  </w:style>
  <w:style w:type="paragraph" w:styleId="NormalWeb">
    <w:name w:val="Normal (Web)"/>
    <w:basedOn w:val="Normal"/>
    <w:uiPriority w:val="99"/>
    <w:rsid w:val="00C819ED"/>
    <w:pPr>
      <w:spacing w:before="100" w:beforeAutospacing="1" w:after="100" w:afterAutospacing="1"/>
    </w:pPr>
  </w:style>
  <w:style w:type="character" w:customStyle="1" w:styleId="hl">
    <w:name w:val="hl"/>
    <w:basedOn w:val="DefaultParagraphFont"/>
    <w:rsid w:val="00A45765"/>
  </w:style>
  <w:style w:type="character" w:styleId="FollowedHyperlink">
    <w:name w:val="FollowedHyperlink"/>
    <w:rsid w:val="0027175F"/>
    <w:rPr>
      <w:color w:val="800080"/>
      <w:u w:val="single"/>
    </w:rPr>
  </w:style>
  <w:style w:type="paragraph" w:styleId="BalloonText">
    <w:name w:val="Balloon Text"/>
    <w:basedOn w:val="Normal"/>
    <w:semiHidden/>
    <w:rsid w:val="002717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C4A23"/>
    <w:rPr>
      <w:sz w:val="16"/>
      <w:szCs w:val="16"/>
    </w:rPr>
  </w:style>
  <w:style w:type="paragraph" w:styleId="CommentText">
    <w:name w:val="annotation text"/>
    <w:basedOn w:val="Normal"/>
    <w:semiHidden/>
    <w:rsid w:val="002C4A2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4A23"/>
    <w:rPr>
      <w:b/>
      <w:bCs/>
    </w:rPr>
  </w:style>
  <w:style w:type="paragraph" w:styleId="Title">
    <w:name w:val="Title"/>
    <w:basedOn w:val="Normal"/>
    <w:next w:val="Normal"/>
    <w:link w:val="TitleChar"/>
    <w:qFormat/>
    <w:rsid w:val="00987D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87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B61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4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9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49930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8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9215">
          <w:marLeft w:val="288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52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747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allij\Application%20Data\Microsoft\Templates\Battelle%20Logo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Battelle Logo document.dot</Template>
  <TotalTime>1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Straw-man objectives and outcomes for potential MOU between SDO's (HL-7 and OASIS) and/or  (HHS and DHS)</vt:lpstr>
    </vt:vector>
  </TitlesOfParts>
  <Company>Evolution Technologies Inc.</Company>
  <LinksUpToDate>false</LinksUpToDate>
  <CharactersWithSpaces>7165</CharactersWithSpaces>
  <SharedDoc>false</SharedDoc>
  <HLinks>
    <vt:vector size="48" baseType="variant">
      <vt:variant>
        <vt:i4>3997821</vt:i4>
      </vt:variant>
      <vt:variant>
        <vt:i4>21</vt:i4>
      </vt:variant>
      <vt:variant>
        <vt:i4>0</vt:i4>
      </vt:variant>
      <vt:variant>
        <vt:i4>5</vt:i4>
      </vt:variant>
      <vt:variant>
        <vt:lpwstr>http://www.hhs.gov/ocr/privacy/</vt:lpwstr>
      </vt:variant>
      <vt:variant>
        <vt:lpwstr/>
      </vt:variant>
      <vt:variant>
        <vt:i4>2818151</vt:i4>
      </vt:variant>
      <vt:variant>
        <vt:i4>18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8060974</vt:i4>
      </vt:variant>
      <vt:variant>
        <vt:i4>15</vt:i4>
      </vt:variant>
      <vt:variant>
        <vt:i4>0</vt:i4>
      </vt:variant>
      <vt:variant>
        <vt:i4>5</vt:i4>
      </vt:variant>
      <vt:variant>
        <vt:lpwstr>http://www.hhs.gov/ocr/privacy/hipaa/faq/providers/hipaa-1068.html</vt:lpwstr>
      </vt:variant>
      <vt:variant>
        <vt:lpwstr/>
      </vt:variant>
      <vt:variant>
        <vt:i4>1835093</vt:i4>
      </vt:variant>
      <vt:variant>
        <vt:i4>12</vt:i4>
      </vt:variant>
      <vt:variant>
        <vt:i4>0</vt:i4>
      </vt:variant>
      <vt:variant>
        <vt:i4>5</vt:i4>
      </vt:variant>
      <vt:variant>
        <vt:lpwstr>http://www.hhs.gov/ocr/privacy/hipaa/understanding/special/emergency/enforcementstatement.pdf</vt:lpwstr>
      </vt:variant>
      <vt:variant>
        <vt:lpwstr/>
      </vt:variant>
      <vt:variant>
        <vt:i4>2621555</vt:i4>
      </vt:variant>
      <vt:variant>
        <vt:i4>9</vt:i4>
      </vt:variant>
      <vt:variant>
        <vt:i4>0</vt:i4>
      </vt:variant>
      <vt:variant>
        <vt:i4>5</vt:i4>
      </vt:variant>
      <vt:variant>
        <vt:lpwstr>http://www.hhs.gov/ocr/privacy/hipaa/understanding/special/emergency/katrinanhipaa.pdf</vt:lpwstr>
      </vt:variant>
      <vt:variant>
        <vt:lpwstr/>
      </vt:variant>
      <vt:variant>
        <vt:i4>2556012</vt:i4>
      </vt:variant>
      <vt:variant>
        <vt:i4>6</vt:i4>
      </vt:variant>
      <vt:variant>
        <vt:i4>0</vt:i4>
      </vt:variant>
      <vt:variant>
        <vt:i4>5</vt:i4>
      </vt:variant>
      <vt:variant>
        <vt:lpwstr>http://www.hhs.gov/ocr/privacy/hipaa/understanding/special/emergency/decisiontoolintro.html</vt:lpwstr>
      </vt:variant>
      <vt:variant>
        <vt:lpwstr/>
      </vt:variant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http://www.hhs.gov/news/press/2006pres/20060705a.html</vt:lpwstr>
      </vt:variant>
      <vt:variant>
        <vt:lpwstr/>
      </vt:variant>
      <vt:variant>
        <vt:i4>2424864</vt:i4>
      </vt:variant>
      <vt:variant>
        <vt:i4>0</vt:i4>
      </vt:variant>
      <vt:variant>
        <vt:i4>0</vt:i4>
      </vt:variant>
      <vt:variant>
        <vt:i4>5</vt:i4>
      </vt:variant>
      <vt:variant>
        <vt:lpwstr>http://www.hhs.gov/ocr/civilrights/resources/specialtopics/emergencypre/index.html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Straw-man objectives and outcomes for potential MOU between SDO's (HL-7 and OASIS) and/or  (HHS and DHS)</dc:title>
  <dc:creator>Timothy Grapes - Evolution Technologies, Inc.</dc:creator>
  <cp:lastModifiedBy> Timothy Grapes - Evotec</cp:lastModifiedBy>
  <cp:revision>2</cp:revision>
  <cp:lastPrinted>2005-12-20T15:13:00Z</cp:lastPrinted>
  <dcterms:created xsi:type="dcterms:W3CDTF">2011-03-17T19:58:00Z</dcterms:created>
  <dcterms:modified xsi:type="dcterms:W3CDTF">2011-03-17T19:58:00Z</dcterms:modified>
</cp:coreProperties>
</file>